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227B0" w:rsidRPr="00D05449" w14:paraId="761DC4F4" w14:textId="77777777" w:rsidTr="00D05449">
        <w:tc>
          <w:tcPr>
            <w:tcW w:w="9016" w:type="dxa"/>
          </w:tcPr>
          <w:p w14:paraId="3A58B630" w14:textId="77777777" w:rsidR="007B7C83" w:rsidRPr="00F0571C" w:rsidRDefault="007B7C83" w:rsidP="00D05449">
            <w:pPr>
              <w:pStyle w:val="NormalWeb"/>
              <w:spacing w:before="0" w:beforeAutospacing="0" w:after="240" w:afterAutospacing="0"/>
              <w:rPr>
                <w:rFonts w:asciiTheme="minorHAnsi" w:hAnsiTheme="minorHAnsi" w:cs="Arial"/>
                <w:b/>
                <w:bCs/>
                <w:color w:val="000000"/>
                <w:sz w:val="32"/>
                <w:szCs w:val="32"/>
              </w:rPr>
            </w:pPr>
            <w:r w:rsidRPr="00F0571C">
              <w:rPr>
                <w:rFonts w:asciiTheme="minorHAnsi" w:hAnsiTheme="minorHAnsi" w:cs="Arial"/>
                <w:b/>
                <w:bCs/>
                <w:color w:val="000000"/>
                <w:sz w:val="32"/>
                <w:szCs w:val="32"/>
              </w:rPr>
              <w:t>Fraud and Malpractice Policy</w:t>
            </w:r>
          </w:p>
          <w:p w14:paraId="785217E4" w14:textId="77777777" w:rsidR="007B7C83" w:rsidRPr="00D05449" w:rsidRDefault="007B7C83" w:rsidP="00D05449">
            <w:pPr>
              <w:pStyle w:val="NormalWeb"/>
              <w:spacing w:before="0" w:beforeAutospacing="0" w:after="240" w:afterAutospacing="0"/>
              <w:rPr>
                <w:rFonts w:asciiTheme="minorHAnsi" w:hAnsiTheme="minorHAnsi" w:cs="Arial"/>
                <w:color w:val="000000"/>
                <w:sz w:val="24"/>
                <w:szCs w:val="24"/>
              </w:rPr>
            </w:pPr>
            <w:r w:rsidRPr="00D05449">
              <w:rPr>
                <w:rFonts w:asciiTheme="minorHAnsi" w:hAnsiTheme="minorHAnsi" w:cs="Arial"/>
                <w:b/>
                <w:bCs/>
                <w:color w:val="000000"/>
                <w:sz w:val="24"/>
                <w:szCs w:val="24"/>
              </w:rPr>
              <w:t xml:space="preserve">Definition </w:t>
            </w:r>
          </w:p>
          <w:p w14:paraId="006B7879" w14:textId="77777777" w:rsidR="007B7C83" w:rsidRPr="00D05449" w:rsidRDefault="007B7C83" w:rsidP="00D05449">
            <w:pPr>
              <w:pStyle w:val="NormalWeb"/>
              <w:spacing w:before="0" w:beforeAutospacing="0" w:after="240" w:afterAutospacing="0"/>
              <w:rPr>
                <w:rFonts w:asciiTheme="minorHAnsi" w:hAnsiTheme="minorHAnsi" w:cs="Arial"/>
                <w:color w:val="000000"/>
                <w:sz w:val="24"/>
                <w:szCs w:val="24"/>
              </w:rPr>
            </w:pPr>
            <w:r w:rsidRPr="00D05449">
              <w:rPr>
                <w:rFonts w:asciiTheme="minorHAnsi" w:hAnsiTheme="minorHAnsi" w:cs="Arial"/>
                <w:color w:val="000000"/>
                <w:sz w:val="24"/>
                <w:szCs w:val="24"/>
              </w:rPr>
              <w:t>We encourage workers to raise genuine concerns about malpractice at the earliest possible stage in the right way.</w:t>
            </w:r>
          </w:p>
          <w:p w14:paraId="35F96A23" w14:textId="77777777" w:rsidR="007B7C83" w:rsidRPr="00D05449" w:rsidRDefault="007B7C83" w:rsidP="00D05449">
            <w:pPr>
              <w:pStyle w:val="NormalWeb"/>
              <w:spacing w:before="0" w:beforeAutospacing="0" w:after="240" w:afterAutospacing="0"/>
              <w:rPr>
                <w:rFonts w:asciiTheme="minorHAnsi" w:hAnsiTheme="minorHAnsi" w:cs="Arial"/>
                <w:color w:val="000000"/>
                <w:sz w:val="24"/>
                <w:szCs w:val="24"/>
              </w:rPr>
            </w:pPr>
            <w:r w:rsidRPr="00D05449">
              <w:rPr>
                <w:rFonts w:asciiTheme="minorHAnsi" w:hAnsiTheme="minorHAnsi" w:cs="Arial"/>
                <w:b/>
                <w:bCs/>
                <w:color w:val="000000"/>
                <w:sz w:val="24"/>
                <w:szCs w:val="24"/>
              </w:rPr>
              <w:t>Scope</w:t>
            </w:r>
          </w:p>
          <w:p w14:paraId="3C6992B0" w14:textId="0BAB5BCB" w:rsidR="007B7C83" w:rsidRPr="00D05449" w:rsidRDefault="007B7C83" w:rsidP="00D05449">
            <w:pPr>
              <w:pStyle w:val="NormalWeb"/>
              <w:spacing w:before="0" w:beforeAutospacing="0" w:after="240" w:afterAutospacing="0"/>
              <w:rPr>
                <w:rFonts w:asciiTheme="minorHAnsi" w:hAnsiTheme="minorHAnsi" w:cs="Arial"/>
                <w:color w:val="000000"/>
                <w:sz w:val="24"/>
                <w:szCs w:val="24"/>
              </w:rPr>
            </w:pPr>
            <w:r w:rsidRPr="00D05449">
              <w:rPr>
                <w:rFonts w:asciiTheme="minorHAnsi" w:hAnsiTheme="minorHAnsi" w:cs="Arial"/>
                <w:color w:val="000000"/>
                <w:sz w:val="24"/>
                <w:szCs w:val="24"/>
              </w:rPr>
              <w:t xml:space="preserve">All </w:t>
            </w:r>
            <w:r w:rsidR="00B57CC1">
              <w:rPr>
                <w:rFonts w:asciiTheme="minorHAnsi" w:hAnsiTheme="minorHAnsi" w:cs="Arial"/>
                <w:color w:val="000000"/>
                <w:sz w:val="24"/>
                <w:szCs w:val="24"/>
              </w:rPr>
              <w:t>Total</w:t>
            </w:r>
            <w:r w:rsidR="00C02028">
              <w:rPr>
                <w:rFonts w:asciiTheme="minorHAnsi" w:hAnsiTheme="minorHAnsi" w:cs="Arial"/>
                <w:color w:val="000000"/>
                <w:sz w:val="24"/>
                <w:szCs w:val="24"/>
              </w:rPr>
              <w:t>-</w:t>
            </w:r>
            <w:r w:rsidR="00B57CC1">
              <w:rPr>
                <w:rFonts w:asciiTheme="minorHAnsi" w:hAnsiTheme="minorHAnsi" w:cs="Arial"/>
                <w:color w:val="000000"/>
                <w:sz w:val="24"/>
                <w:szCs w:val="24"/>
              </w:rPr>
              <w:t>Cleaning</w:t>
            </w:r>
            <w:r w:rsidR="00C02028">
              <w:rPr>
                <w:rFonts w:asciiTheme="minorHAnsi" w:hAnsiTheme="minorHAnsi" w:cs="Arial"/>
                <w:color w:val="000000"/>
                <w:sz w:val="24"/>
                <w:szCs w:val="24"/>
              </w:rPr>
              <w:t>.Com</w:t>
            </w:r>
            <w:r w:rsidRPr="00D05449">
              <w:rPr>
                <w:rFonts w:asciiTheme="minorHAnsi" w:hAnsiTheme="minorHAnsi" w:cs="Arial"/>
                <w:color w:val="000000"/>
                <w:sz w:val="24"/>
                <w:szCs w:val="24"/>
              </w:rPr>
              <w:t xml:space="preserve"> employees, consultants, temporary and agency workers, and anyone on a contract for services.</w:t>
            </w:r>
          </w:p>
          <w:p w14:paraId="392D444D" w14:textId="77777777" w:rsidR="007B7C83" w:rsidRPr="00D05449" w:rsidRDefault="007B7C83" w:rsidP="00D05449">
            <w:pPr>
              <w:pStyle w:val="NormalWeb"/>
              <w:spacing w:before="0" w:beforeAutospacing="0" w:after="240" w:afterAutospacing="0"/>
              <w:rPr>
                <w:rFonts w:asciiTheme="minorHAnsi" w:hAnsiTheme="minorHAnsi" w:cs="Arial"/>
                <w:color w:val="000000"/>
                <w:sz w:val="24"/>
                <w:szCs w:val="24"/>
              </w:rPr>
            </w:pPr>
            <w:r w:rsidRPr="00D05449">
              <w:rPr>
                <w:rFonts w:asciiTheme="minorHAnsi" w:hAnsiTheme="minorHAnsi" w:cs="Arial"/>
                <w:b/>
                <w:bCs/>
                <w:color w:val="000000"/>
                <w:sz w:val="24"/>
                <w:szCs w:val="24"/>
              </w:rPr>
              <w:t>Objectives</w:t>
            </w:r>
          </w:p>
          <w:p w14:paraId="18A21A10" w14:textId="31372948" w:rsidR="007B7C83" w:rsidRPr="00D05449" w:rsidRDefault="007B7C83" w:rsidP="00D05449">
            <w:pPr>
              <w:pStyle w:val="NormalWeb"/>
              <w:spacing w:before="0" w:beforeAutospacing="0" w:after="240" w:afterAutospacing="0"/>
              <w:rPr>
                <w:rFonts w:asciiTheme="minorHAnsi" w:hAnsiTheme="minorHAnsi" w:cs="Arial"/>
                <w:color w:val="000000"/>
                <w:sz w:val="24"/>
                <w:szCs w:val="24"/>
              </w:rPr>
            </w:pPr>
            <w:r w:rsidRPr="00D05449">
              <w:rPr>
                <w:rFonts w:asciiTheme="minorHAnsi" w:hAnsiTheme="minorHAnsi" w:cs="Arial"/>
                <w:color w:val="000000"/>
                <w:sz w:val="24"/>
                <w:szCs w:val="24"/>
              </w:rPr>
              <w:t xml:space="preserve">• To support the current legal requirements of the Public Interest Disclosure Act 1998. </w:t>
            </w:r>
            <w:r w:rsidRPr="00D05449">
              <w:rPr>
                <w:rFonts w:asciiTheme="minorHAnsi" w:hAnsiTheme="minorHAnsi" w:cs="Arial"/>
                <w:color w:val="000000"/>
                <w:sz w:val="24"/>
                <w:szCs w:val="24"/>
              </w:rPr>
              <w:br/>
              <w:t xml:space="preserve">• To support the </w:t>
            </w:r>
            <w:r w:rsidR="00B57CC1">
              <w:rPr>
                <w:rFonts w:asciiTheme="minorHAnsi" w:hAnsiTheme="minorHAnsi" w:cs="Arial"/>
                <w:color w:val="000000"/>
                <w:sz w:val="24"/>
                <w:szCs w:val="24"/>
              </w:rPr>
              <w:t>Total</w:t>
            </w:r>
            <w:r w:rsidR="00C02028">
              <w:rPr>
                <w:rFonts w:asciiTheme="minorHAnsi" w:hAnsiTheme="minorHAnsi" w:cs="Arial"/>
                <w:color w:val="000000"/>
                <w:sz w:val="24"/>
                <w:szCs w:val="24"/>
              </w:rPr>
              <w:t>-</w:t>
            </w:r>
            <w:proofErr w:type="spellStart"/>
            <w:r w:rsidR="00B57CC1">
              <w:rPr>
                <w:rFonts w:asciiTheme="minorHAnsi" w:hAnsiTheme="minorHAnsi" w:cs="Arial"/>
                <w:color w:val="000000"/>
                <w:sz w:val="24"/>
                <w:szCs w:val="24"/>
              </w:rPr>
              <w:t>Cleaning</w:t>
            </w:r>
            <w:r w:rsidR="00C02028">
              <w:rPr>
                <w:rFonts w:asciiTheme="minorHAnsi" w:hAnsiTheme="minorHAnsi" w:cs="Arial"/>
                <w:color w:val="000000"/>
                <w:sz w:val="24"/>
                <w:szCs w:val="24"/>
              </w:rPr>
              <w:t>.Com’s</w:t>
            </w:r>
            <w:proofErr w:type="spellEnd"/>
            <w:r w:rsidRPr="00D05449">
              <w:rPr>
                <w:rFonts w:asciiTheme="minorHAnsi" w:hAnsiTheme="minorHAnsi" w:cs="Arial"/>
                <w:color w:val="000000"/>
                <w:sz w:val="24"/>
                <w:szCs w:val="24"/>
              </w:rPr>
              <w:t xml:space="preserve"> values. </w:t>
            </w:r>
            <w:r w:rsidRPr="00D05449">
              <w:rPr>
                <w:rFonts w:asciiTheme="minorHAnsi" w:hAnsiTheme="minorHAnsi" w:cs="Arial"/>
                <w:color w:val="000000"/>
                <w:sz w:val="24"/>
                <w:szCs w:val="24"/>
              </w:rPr>
              <w:br/>
              <w:t xml:space="preserve">• To ensure employees can raise concerns without fear of suffering retribution. </w:t>
            </w:r>
            <w:r w:rsidRPr="00D05449">
              <w:rPr>
                <w:rFonts w:asciiTheme="minorHAnsi" w:hAnsiTheme="minorHAnsi" w:cs="Arial"/>
                <w:color w:val="000000"/>
                <w:sz w:val="24"/>
                <w:szCs w:val="24"/>
              </w:rPr>
              <w:br/>
              <w:t>• To provide a clear and confidential procedure.</w:t>
            </w:r>
          </w:p>
          <w:p w14:paraId="1DCE945B" w14:textId="77777777" w:rsidR="007B7C83" w:rsidRPr="00D05449" w:rsidRDefault="007B7C83" w:rsidP="00D05449">
            <w:pPr>
              <w:pStyle w:val="NormalWeb"/>
              <w:spacing w:before="0" w:beforeAutospacing="0" w:after="240" w:afterAutospacing="0"/>
              <w:rPr>
                <w:rFonts w:asciiTheme="minorHAnsi" w:hAnsiTheme="minorHAnsi" w:cs="Arial"/>
                <w:color w:val="000000"/>
                <w:sz w:val="24"/>
                <w:szCs w:val="24"/>
              </w:rPr>
            </w:pPr>
            <w:r w:rsidRPr="00D05449">
              <w:rPr>
                <w:rFonts w:asciiTheme="minorHAnsi" w:hAnsiTheme="minorHAnsi" w:cs="Arial"/>
                <w:b/>
                <w:bCs/>
                <w:color w:val="000000"/>
                <w:sz w:val="24"/>
                <w:szCs w:val="24"/>
              </w:rPr>
              <w:t>Principles</w:t>
            </w:r>
          </w:p>
          <w:p w14:paraId="191E37E9" w14:textId="77777777" w:rsidR="007B7C83" w:rsidRPr="00D05449" w:rsidRDefault="007B7C83" w:rsidP="00D05449">
            <w:pPr>
              <w:pStyle w:val="NormalWeb"/>
              <w:spacing w:before="0" w:beforeAutospacing="0" w:after="240" w:afterAutospacing="0"/>
              <w:rPr>
                <w:rFonts w:asciiTheme="minorHAnsi" w:hAnsiTheme="minorHAnsi" w:cs="Arial"/>
                <w:color w:val="000000"/>
                <w:sz w:val="24"/>
                <w:szCs w:val="24"/>
              </w:rPr>
            </w:pPr>
            <w:r w:rsidRPr="00D05449">
              <w:rPr>
                <w:rFonts w:asciiTheme="minorHAnsi" w:hAnsiTheme="minorHAnsi" w:cs="Arial"/>
                <w:color w:val="000000"/>
                <w:sz w:val="24"/>
                <w:szCs w:val="24"/>
              </w:rPr>
              <w:t xml:space="preserve">• Any concerns raised will be treated fairly and properly. </w:t>
            </w:r>
            <w:r w:rsidRPr="00D05449">
              <w:rPr>
                <w:rFonts w:asciiTheme="minorHAnsi" w:hAnsiTheme="minorHAnsi" w:cs="Arial"/>
                <w:color w:val="000000"/>
                <w:sz w:val="24"/>
                <w:szCs w:val="24"/>
              </w:rPr>
              <w:br/>
              <w:t xml:space="preserve">• We will not tolerate the harassment or victimisation of anyone raising a genuine concern. </w:t>
            </w:r>
            <w:r w:rsidRPr="00D05449">
              <w:rPr>
                <w:rFonts w:asciiTheme="minorHAnsi" w:hAnsiTheme="minorHAnsi" w:cs="Arial"/>
                <w:color w:val="000000"/>
                <w:sz w:val="24"/>
                <w:szCs w:val="24"/>
              </w:rPr>
              <w:br/>
              <w:t xml:space="preserve">• Any individual making a disclosure will retain their anonymity unless they agree otherwise. </w:t>
            </w:r>
            <w:r w:rsidRPr="00D05449">
              <w:rPr>
                <w:rFonts w:asciiTheme="minorHAnsi" w:hAnsiTheme="minorHAnsi" w:cs="Arial"/>
                <w:color w:val="000000"/>
                <w:sz w:val="24"/>
                <w:szCs w:val="24"/>
              </w:rPr>
              <w:br/>
              <w:t xml:space="preserve">• We will ensure that the individual raising the concern is aware of who is handling the matter. </w:t>
            </w:r>
            <w:r w:rsidRPr="00D05449">
              <w:rPr>
                <w:rFonts w:asciiTheme="minorHAnsi" w:hAnsiTheme="minorHAnsi" w:cs="Arial"/>
                <w:color w:val="000000"/>
                <w:sz w:val="24"/>
                <w:szCs w:val="24"/>
              </w:rPr>
              <w:br/>
              <w:t>• We will ensure no one will be at risk of suffering some form of retribution as a result of raising a concern even if they are mistaken. We do not however extend this assurance to someone who maliciously raises a matter they know is untrue.</w:t>
            </w:r>
          </w:p>
          <w:p w14:paraId="375398BF" w14:textId="77777777" w:rsidR="007B7C83" w:rsidRPr="00D05449" w:rsidRDefault="007B7C83" w:rsidP="00D05449">
            <w:pPr>
              <w:pStyle w:val="NormalWeb"/>
              <w:spacing w:before="0" w:beforeAutospacing="0" w:after="240" w:afterAutospacing="0"/>
              <w:rPr>
                <w:rFonts w:asciiTheme="minorHAnsi" w:hAnsiTheme="minorHAnsi" w:cs="Arial"/>
                <w:color w:val="000000"/>
                <w:sz w:val="24"/>
                <w:szCs w:val="24"/>
              </w:rPr>
            </w:pPr>
            <w:r w:rsidRPr="00D05449">
              <w:rPr>
                <w:rFonts w:asciiTheme="minorHAnsi" w:hAnsiTheme="minorHAnsi" w:cs="Arial"/>
                <w:color w:val="000000"/>
                <w:sz w:val="24"/>
                <w:szCs w:val="24"/>
              </w:rPr>
              <w:t>The types of matters regarded as malpractice for the purposes of this policy are:</w:t>
            </w:r>
          </w:p>
          <w:p w14:paraId="1D17AC95" w14:textId="534658B1" w:rsidR="007B7C83" w:rsidRPr="00D05449" w:rsidRDefault="007B7C83" w:rsidP="00D05449">
            <w:pPr>
              <w:pStyle w:val="NormalWeb"/>
              <w:spacing w:before="0" w:beforeAutospacing="0" w:after="240" w:afterAutospacing="0"/>
              <w:rPr>
                <w:rFonts w:asciiTheme="minorHAnsi" w:hAnsiTheme="minorHAnsi" w:cs="Arial"/>
                <w:color w:val="000000"/>
                <w:sz w:val="24"/>
                <w:szCs w:val="24"/>
              </w:rPr>
            </w:pPr>
            <w:r w:rsidRPr="00D05449">
              <w:rPr>
                <w:rFonts w:asciiTheme="minorHAnsi" w:hAnsiTheme="minorHAnsi" w:cs="Arial"/>
                <w:color w:val="000000"/>
                <w:sz w:val="24"/>
                <w:szCs w:val="24"/>
              </w:rPr>
              <w:t xml:space="preserve">• Fraud or financial malpractice </w:t>
            </w:r>
            <w:r w:rsidRPr="00D05449">
              <w:rPr>
                <w:rFonts w:asciiTheme="minorHAnsi" w:hAnsiTheme="minorHAnsi" w:cs="Arial"/>
                <w:color w:val="000000"/>
                <w:sz w:val="24"/>
                <w:szCs w:val="24"/>
              </w:rPr>
              <w:br/>
              <w:t xml:space="preserve">• Corruption, bribery or blackmail </w:t>
            </w:r>
            <w:r w:rsidRPr="00D05449">
              <w:rPr>
                <w:rFonts w:asciiTheme="minorHAnsi" w:hAnsiTheme="minorHAnsi" w:cs="Arial"/>
                <w:color w:val="000000"/>
                <w:sz w:val="24"/>
                <w:szCs w:val="24"/>
              </w:rPr>
              <w:br/>
              <w:t xml:space="preserve">• Criminal offences </w:t>
            </w:r>
            <w:r w:rsidRPr="00D05449">
              <w:rPr>
                <w:rFonts w:asciiTheme="minorHAnsi" w:hAnsiTheme="minorHAnsi" w:cs="Arial"/>
                <w:color w:val="000000"/>
                <w:sz w:val="24"/>
                <w:szCs w:val="24"/>
              </w:rPr>
              <w:br/>
              <w:t xml:space="preserve">• Failure to comply with a legal or regulatory obligation </w:t>
            </w:r>
            <w:r w:rsidRPr="00D05449">
              <w:rPr>
                <w:rFonts w:asciiTheme="minorHAnsi" w:hAnsiTheme="minorHAnsi" w:cs="Arial"/>
                <w:color w:val="000000"/>
                <w:sz w:val="24"/>
                <w:szCs w:val="24"/>
              </w:rPr>
              <w:br/>
              <w:t xml:space="preserve">• Miscarriage of justice </w:t>
            </w:r>
            <w:r w:rsidRPr="00D05449">
              <w:rPr>
                <w:rFonts w:asciiTheme="minorHAnsi" w:hAnsiTheme="minorHAnsi" w:cs="Arial"/>
                <w:color w:val="000000"/>
                <w:sz w:val="24"/>
                <w:szCs w:val="24"/>
              </w:rPr>
              <w:br/>
              <w:t xml:space="preserve">• Endangering the health and safety of an individual </w:t>
            </w:r>
            <w:r w:rsidRPr="00D05449">
              <w:rPr>
                <w:rFonts w:asciiTheme="minorHAnsi" w:hAnsiTheme="minorHAnsi" w:cs="Arial"/>
                <w:color w:val="000000"/>
                <w:sz w:val="24"/>
                <w:szCs w:val="24"/>
              </w:rPr>
              <w:br/>
              <w:t xml:space="preserve">• Endangering the environment </w:t>
            </w:r>
            <w:r w:rsidRPr="00D05449">
              <w:rPr>
                <w:rFonts w:asciiTheme="minorHAnsi" w:hAnsiTheme="minorHAnsi" w:cs="Arial"/>
                <w:color w:val="000000"/>
                <w:sz w:val="24"/>
                <w:szCs w:val="24"/>
              </w:rPr>
              <w:br/>
              <w:t>• Concealment of any of the above.</w:t>
            </w:r>
          </w:p>
          <w:p w14:paraId="41BFDC71" w14:textId="77777777" w:rsidR="00F0571C" w:rsidRDefault="00F0571C" w:rsidP="00D05449">
            <w:pPr>
              <w:pStyle w:val="NormalWeb"/>
              <w:spacing w:before="0" w:beforeAutospacing="0" w:after="240" w:afterAutospacing="0"/>
              <w:rPr>
                <w:rFonts w:asciiTheme="minorHAnsi" w:hAnsiTheme="minorHAnsi" w:cs="Arial"/>
                <w:b/>
                <w:color w:val="000000"/>
                <w:sz w:val="24"/>
                <w:szCs w:val="24"/>
              </w:rPr>
            </w:pPr>
          </w:p>
          <w:p w14:paraId="4BA90A84" w14:textId="77777777" w:rsidR="00F0571C" w:rsidRDefault="00F0571C" w:rsidP="00D05449">
            <w:pPr>
              <w:pStyle w:val="NormalWeb"/>
              <w:spacing w:before="0" w:beforeAutospacing="0" w:after="240" w:afterAutospacing="0"/>
              <w:rPr>
                <w:rFonts w:asciiTheme="minorHAnsi" w:hAnsiTheme="minorHAnsi" w:cs="Arial"/>
                <w:b/>
                <w:color w:val="000000"/>
                <w:sz w:val="24"/>
                <w:szCs w:val="24"/>
              </w:rPr>
            </w:pPr>
          </w:p>
          <w:p w14:paraId="304497C3" w14:textId="7878C1A0" w:rsidR="007B7C83" w:rsidRPr="00D05449" w:rsidRDefault="007B7C83" w:rsidP="00D05449">
            <w:pPr>
              <w:pStyle w:val="NormalWeb"/>
              <w:spacing w:before="0" w:beforeAutospacing="0" w:after="240" w:afterAutospacing="0"/>
              <w:rPr>
                <w:rFonts w:asciiTheme="minorHAnsi" w:hAnsiTheme="minorHAnsi" w:cs="Arial"/>
                <w:b/>
                <w:color w:val="000000"/>
                <w:sz w:val="24"/>
                <w:szCs w:val="24"/>
              </w:rPr>
            </w:pPr>
            <w:r w:rsidRPr="00D05449">
              <w:rPr>
                <w:rFonts w:asciiTheme="minorHAnsi" w:hAnsiTheme="minorHAnsi" w:cs="Arial"/>
                <w:b/>
                <w:color w:val="000000"/>
                <w:sz w:val="24"/>
                <w:szCs w:val="24"/>
              </w:rPr>
              <w:t>For personal grievances please use the Grievance Procedure.</w:t>
            </w:r>
          </w:p>
          <w:p w14:paraId="24FA00F5" w14:textId="1624163E" w:rsidR="00181E9F" w:rsidRDefault="007B7C83" w:rsidP="00D05449">
            <w:pPr>
              <w:pStyle w:val="NormalWeb"/>
              <w:spacing w:before="0" w:beforeAutospacing="0" w:after="240" w:afterAutospacing="0"/>
              <w:rPr>
                <w:rFonts w:asciiTheme="minorHAnsi" w:hAnsiTheme="minorHAnsi" w:cs="Arial"/>
                <w:color w:val="000000"/>
                <w:sz w:val="24"/>
                <w:szCs w:val="24"/>
              </w:rPr>
            </w:pPr>
            <w:r w:rsidRPr="00D05449">
              <w:rPr>
                <w:rFonts w:asciiTheme="minorHAnsi" w:hAnsiTheme="minorHAnsi" w:cs="Arial"/>
                <w:color w:val="000000"/>
                <w:sz w:val="24"/>
                <w:szCs w:val="24"/>
              </w:rPr>
              <w:t xml:space="preserve">• If you have a concern about malpractice the issue should first be raised with your line manager either orally or in writing. </w:t>
            </w:r>
            <w:r w:rsidRPr="00D05449">
              <w:rPr>
                <w:rFonts w:asciiTheme="minorHAnsi" w:hAnsiTheme="minorHAnsi" w:cs="Arial"/>
                <w:color w:val="000000"/>
                <w:sz w:val="24"/>
                <w:szCs w:val="24"/>
              </w:rPr>
              <w:br/>
            </w:r>
          </w:p>
          <w:p w14:paraId="59196B80" w14:textId="35A563FF" w:rsidR="007B7C83" w:rsidRPr="00D05449" w:rsidRDefault="007B7C83" w:rsidP="00D05449">
            <w:pPr>
              <w:pStyle w:val="NormalWeb"/>
              <w:spacing w:before="0" w:beforeAutospacing="0" w:after="240" w:afterAutospacing="0"/>
              <w:rPr>
                <w:rFonts w:asciiTheme="minorHAnsi" w:hAnsiTheme="minorHAnsi" w:cs="Arial"/>
                <w:color w:val="000000"/>
                <w:sz w:val="24"/>
                <w:szCs w:val="24"/>
              </w:rPr>
            </w:pPr>
            <w:r w:rsidRPr="00D05449">
              <w:rPr>
                <w:rFonts w:asciiTheme="minorHAnsi" w:hAnsiTheme="minorHAnsi" w:cs="Arial"/>
                <w:color w:val="000000"/>
                <w:sz w:val="24"/>
                <w:szCs w:val="24"/>
              </w:rPr>
              <w:t>If you have raised your concern internally you will be informed on who is handling the matter, how you can make contact with them and if there is any further assistance required from you.</w:t>
            </w:r>
          </w:p>
          <w:p w14:paraId="3F3DED56" w14:textId="77777777" w:rsidR="007B7C83" w:rsidRPr="00D05449" w:rsidRDefault="007B7C83" w:rsidP="00D05449">
            <w:pPr>
              <w:pStyle w:val="NormalWeb"/>
              <w:spacing w:before="0" w:beforeAutospacing="0" w:after="240" w:afterAutospacing="0"/>
              <w:rPr>
                <w:rFonts w:asciiTheme="minorHAnsi" w:hAnsiTheme="minorHAnsi" w:cs="Arial"/>
                <w:color w:val="000000"/>
                <w:sz w:val="24"/>
                <w:szCs w:val="24"/>
              </w:rPr>
            </w:pPr>
            <w:r w:rsidRPr="00D05449">
              <w:rPr>
                <w:rFonts w:asciiTheme="minorHAnsi" w:hAnsiTheme="minorHAnsi" w:cs="Arial"/>
                <w:color w:val="000000"/>
                <w:sz w:val="24"/>
                <w:szCs w:val="24"/>
              </w:rPr>
              <w:t>We will give as much feedback as we can without any infringement on a duty of confidence owed by us to someone else.</w:t>
            </w:r>
          </w:p>
          <w:p w14:paraId="45C6D2EF" w14:textId="77777777" w:rsidR="007B7C83" w:rsidRPr="00D05449" w:rsidRDefault="007B7C83" w:rsidP="00D05449">
            <w:pPr>
              <w:pStyle w:val="NormalWeb"/>
              <w:spacing w:before="0" w:beforeAutospacing="0" w:after="240" w:afterAutospacing="0"/>
              <w:rPr>
                <w:rFonts w:asciiTheme="minorHAnsi" w:hAnsiTheme="minorHAnsi" w:cs="Arial"/>
                <w:color w:val="000000"/>
                <w:sz w:val="24"/>
                <w:szCs w:val="24"/>
              </w:rPr>
            </w:pPr>
            <w:r w:rsidRPr="00D05449">
              <w:rPr>
                <w:rFonts w:asciiTheme="minorHAnsi" w:hAnsiTheme="minorHAnsi" w:cs="Arial"/>
                <w:color w:val="000000"/>
                <w:sz w:val="24"/>
                <w:szCs w:val="24"/>
              </w:rPr>
              <w:t>We will not disclose your identity without your consent. If the situation arises where we are not able to resolve the concern without revealing your identity (e.g. if your evidence is required in court), we will discuss with you whether and how we can proceed.</w:t>
            </w:r>
          </w:p>
          <w:p w14:paraId="7796FABB" w14:textId="77777777" w:rsidR="002227B0" w:rsidRPr="005D28F3" w:rsidRDefault="007B7C83" w:rsidP="005D28F3">
            <w:pPr>
              <w:pStyle w:val="NormalWeb"/>
              <w:spacing w:before="0" w:beforeAutospacing="0" w:after="240" w:afterAutospacing="0"/>
              <w:rPr>
                <w:rFonts w:asciiTheme="minorHAnsi" w:hAnsiTheme="minorHAnsi" w:cs="Arial"/>
                <w:color w:val="000000"/>
                <w:sz w:val="24"/>
                <w:szCs w:val="24"/>
              </w:rPr>
            </w:pPr>
            <w:r w:rsidRPr="00D05449">
              <w:rPr>
                <w:rFonts w:asciiTheme="minorHAnsi" w:hAnsiTheme="minorHAnsi" w:cs="Arial"/>
                <w:color w:val="000000"/>
                <w:sz w:val="24"/>
                <w:szCs w:val="24"/>
              </w:rPr>
              <w:t>If you are unsure whether to use the procedure or you want independent advice at any stage, you may contact the independent charity Public Concern At Work on 0207 404 6609. Their lawyers can give you free confidential advice at any stage about how to raise a concern about serious malpractice at work. (</w:t>
            </w:r>
            <w:hyperlink r:id="rId9" w:history="1">
              <w:r w:rsidRPr="00D05449">
                <w:rPr>
                  <w:rStyle w:val="Hyperlink"/>
                  <w:rFonts w:asciiTheme="minorHAnsi" w:hAnsiTheme="minorHAnsi" w:cs="Arial"/>
                  <w:color w:val="000000"/>
                  <w:sz w:val="24"/>
                  <w:szCs w:val="24"/>
                </w:rPr>
                <w:t>http://www.pcaw.co.uk/</w:t>
              </w:r>
            </w:hyperlink>
            <w:r w:rsidRPr="00D05449">
              <w:rPr>
                <w:rFonts w:asciiTheme="minorHAnsi" w:hAnsiTheme="minorHAnsi" w:cs="Arial"/>
                <w:color w:val="000000"/>
                <w:sz w:val="24"/>
                <w:szCs w:val="24"/>
              </w:rPr>
              <w:t>).</w:t>
            </w:r>
          </w:p>
        </w:tc>
      </w:tr>
    </w:tbl>
    <w:p w14:paraId="2704A365" w14:textId="2A8FECCA" w:rsidR="00BA6615" w:rsidRDefault="00BA6615" w:rsidP="0062631E">
      <w:pPr>
        <w:outlineLvl w:val="0"/>
        <w:rPr>
          <w:rFonts w:asciiTheme="minorHAnsi" w:hAnsiTheme="minorHAnsi" w:cs="Arial"/>
          <w:sz w:val="24"/>
          <w:szCs w:val="24"/>
        </w:rPr>
      </w:pPr>
    </w:p>
    <w:p w14:paraId="6E7BC38B" w14:textId="1D099FC0" w:rsidR="00F0571C" w:rsidRDefault="00F0571C" w:rsidP="0062631E">
      <w:pPr>
        <w:outlineLvl w:val="0"/>
        <w:rPr>
          <w:rFonts w:asciiTheme="minorHAnsi" w:hAnsiTheme="minorHAnsi" w:cs="Arial"/>
          <w:sz w:val="24"/>
          <w:szCs w:val="24"/>
        </w:rPr>
      </w:pPr>
    </w:p>
    <w:p w14:paraId="422AF9EF" w14:textId="77777777" w:rsidR="00F0571C" w:rsidRDefault="00F0571C" w:rsidP="0062631E">
      <w:pPr>
        <w:outlineLvl w:val="0"/>
        <w:rPr>
          <w:rFonts w:asciiTheme="minorHAnsi" w:hAnsiTheme="minorHAnsi" w:cs="Arial"/>
          <w:sz w:val="24"/>
          <w:szCs w:val="24"/>
        </w:rPr>
      </w:pPr>
    </w:p>
    <w:p w14:paraId="4721AAB3" w14:textId="7363BBAE" w:rsidR="00F0571C" w:rsidRDefault="00F0571C" w:rsidP="0062631E">
      <w:pPr>
        <w:outlineLvl w:val="0"/>
        <w:rPr>
          <w:rFonts w:asciiTheme="minorHAnsi" w:hAnsiTheme="minorHAnsi" w:cs="Arial"/>
          <w:sz w:val="24"/>
          <w:szCs w:val="24"/>
        </w:rPr>
      </w:pPr>
    </w:p>
    <w:p w14:paraId="2C3781F4" w14:textId="77777777" w:rsidR="00C02028" w:rsidRDefault="00C02028" w:rsidP="00C02028">
      <w:pPr>
        <w:pStyle w:val="Blockquote"/>
        <w:spacing w:after="0"/>
        <w:ind w:right="720"/>
        <w:rPr>
          <w:rFonts w:asciiTheme="minorHAnsi" w:hAnsiTheme="minorHAnsi" w:cstheme="minorHAnsi"/>
          <w:sz w:val="20"/>
        </w:rPr>
      </w:pPr>
      <w:r>
        <w:rPr>
          <w:rFonts w:asciiTheme="minorHAnsi" w:hAnsiTheme="minorHAnsi" w:cstheme="minorHAnsi"/>
          <w:sz w:val="20"/>
        </w:rPr>
        <w:t xml:space="preserve">Approved By: Euan Oattes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Date: 01.08.2022</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14:paraId="68813C77" w14:textId="77777777" w:rsidR="00C02028" w:rsidRDefault="00C02028" w:rsidP="00C02028">
      <w:pPr>
        <w:pStyle w:val="Blockquote"/>
        <w:spacing w:after="0"/>
        <w:ind w:right="720"/>
        <w:rPr>
          <w:rFonts w:asciiTheme="minorHAnsi" w:hAnsiTheme="minorHAnsi" w:cstheme="minorHAnsi"/>
          <w:sz w:val="20"/>
        </w:rPr>
      </w:pPr>
    </w:p>
    <w:p w14:paraId="40F97E5E" w14:textId="77777777" w:rsidR="00C02028" w:rsidRPr="00A53024" w:rsidRDefault="00C02028" w:rsidP="00C02028">
      <w:pPr>
        <w:pStyle w:val="Blockquote"/>
        <w:spacing w:after="0"/>
        <w:ind w:right="720"/>
        <w:rPr>
          <w:rFonts w:ascii="Calibri" w:hAnsi="Calibri" w:cs="Calibri"/>
          <w:sz w:val="20"/>
          <w:lang w:val="da-DK"/>
        </w:rPr>
      </w:pPr>
      <w:proofErr w:type="spellStart"/>
      <w:r w:rsidRPr="00A53024">
        <w:rPr>
          <w:rFonts w:asciiTheme="minorHAnsi" w:hAnsiTheme="minorHAnsi" w:cstheme="minorHAnsi"/>
          <w:sz w:val="20"/>
          <w:lang w:val="da-DK"/>
        </w:rPr>
        <w:t>Signed</w:t>
      </w:r>
      <w:proofErr w:type="spellEnd"/>
      <w:r w:rsidRPr="00A53024">
        <w:rPr>
          <w:rFonts w:asciiTheme="minorHAnsi" w:hAnsiTheme="minorHAnsi" w:cstheme="minorHAnsi"/>
          <w:sz w:val="20"/>
          <w:lang w:val="da-DK"/>
        </w:rPr>
        <w:t xml:space="preserve">: </w:t>
      </w:r>
      <w:r w:rsidRPr="00A53024">
        <w:rPr>
          <w:rFonts w:ascii="Ink Free" w:hAnsi="Ink Free" w:cstheme="minorHAnsi"/>
          <w:color w:val="4472C4" w:themeColor="accent5"/>
          <w:sz w:val="28"/>
          <w:szCs w:val="28"/>
          <w:lang w:val="da-DK"/>
        </w:rPr>
        <w:t>Euan D. Oattes</w:t>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Calibri" w:hAnsi="Calibri" w:cs="Calibri"/>
          <w:sz w:val="20"/>
          <w:lang w:val="da-DK"/>
        </w:rPr>
        <w:t>Revision</w:t>
      </w:r>
      <w:r>
        <w:rPr>
          <w:rFonts w:ascii="Calibri" w:hAnsi="Calibri" w:cs="Calibri"/>
          <w:sz w:val="20"/>
          <w:lang w:val="da-DK"/>
        </w:rPr>
        <w:t>: 01.08.2023</w:t>
      </w:r>
    </w:p>
    <w:p w14:paraId="542409AE" w14:textId="059441A4" w:rsidR="00F0571C" w:rsidRDefault="00F0571C" w:rsidP="0062631E">
      <w:pPr>
        <w:outlineLvl w:val="0"/>
        <w:rPr>
          <w:rFonts w:asciiTheme="minorHAnsi" w:hAnsiTheme="minorHAnsi" w:cs="Arial"/>
          <w:sz w:val="24"/>
          <w:szCs w:val="24"/>
        </w:rPr>
      </w:pPr>
    </w:p>
    <w:p w14:paraId="23A6D37F" w14:textId="520C7B57" w:rsidR="00F0571C" w:rsidRDefault="00F0571C" w:rsidP="0062631E">
      <w:pPr>
        <w:outlineLvl w:val="0"/>
        <w:rPr>
          <w:rFonts w:asciiTheme="minorHAnsi" w:hAnsiTheme="minorHAnsi" w:cs="Arial"/>
          <w:sz w:val="24"/>
          <w:szCs w:val="24"/>
        </w:rPr>
      </w:pPr>
    </w:p>
    <w:p w14:paraId="43E48808" w14:textId="31436310" w:rsidR="00F0571C" w:rsidRDefault="00F0571C" w:rsidP="0062631E">
      <w:pPr>
        <w:outlineLvl w:val="0"/>
        <w:rPr>
          <w:rFonts w:asciiTheme="minorHAnsi" w:hAnsiTheme="minorHAnsi" w:cs="Arial"/>
          <w:sz w:val="24"/>
          <w:szCs w:val="24"/>
        </w:rPr>
      </w:pPr>
    </w:p>
    <w:p w14:paraId="013C3395" w14:textId="77777777" w:rsidR="00F0571C" w:rsidRDefault="00F0571C" w:rsidP="0062631E">
      <w:pPr>
        <w:outlineLvl w:val="0"/>
        <w:rPr>
          <w:rFonts w:asciiTheme="minorHAnsi" w:hAnsiTheme="minorHAnsi" w:cs="Arial"/>
          <w:sz w:val="24"/>
          <w:szCs w:val="24"/>
        </w:rPr>
      </w:pPr>
    </w:p>
    <w:p w14:paraId="67AB19D3" w14:textId="2A0AA59F" w:rsidR="00F0571C" w:rsidRDefault="00F0571C" w:rsidP="0062631E">
      <w:pPr>
        <w:outlineLvl w:val="0"/>
        <w:rPr>
          <w:rFonts w:asciiTheme="minorHAnsi" w:hAnsiTheme="minorHAnsi" w:cs="Arial"/>
          <w:sz w:val="24"/>
          <w:szCs w:val="24"/>
        </w:rPr>
      </w:pPr>
    </w:p>
    <w:p w14:paraId="13C3506E" w14:textId="77777777" w:rsidR="00F0571C" w:rsidRPr="0062631E" w:rsidRDefault="00F0571C" w:rsidP="0062631E">
      <w:pPr>
        <w:outlineLvl w:val="0"/>
        <w:rPr>
          <w:rFonts w:asciiTheme="minorHAnsi" w:hAnsiTheme="minorHAnsi" w:cs="Arial"/>
          <w:sz w:val="24"/>
          <w:szCs w:val="24"/>
        </w:rPr>
      </w:pPr>
    </w:p>
    <w:sectPr w:rsidR="00F0571C" w:rsidRPr="0062631E" w:rsidSect="00A74C3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24E8" w14:textId="77777777" w:rsidR="005F37E8" w:rsidRDefault="005F37E8" w:rsidP="007A5B50">
      <w:pPr>
        <w:spacing w:after="0" w:line="240" w:lineRule="auto"/>
      </w:pPr>
      <w:r>
        <w:separator/>
      </w:r>
    </w:p>
  </w:endnote>
  <w:endnote w:type="continuationSeparator" w:id="0">
    <w:p w14:paraId="3DBD57F0" w14:textId="77777777" w:rsidR="005F37E8" w:rsidRDefault="005F37E8" w:rsidP="007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80"/>
      <w:gridCol w:w="3081"/>
      <w:gridCol w:w="3081"/>
    </w:tblGrid>
    <w:tr w:rsidR="00F0571C" w14:paraId="0075B828" w14:textId="77777777" w:rsidTr="00434C61">
      <w:tc>
        <w:tcPr>
          <w:tcW w:w="3080" w:type="dxa"/>
          <w:shd w:val="clear" w:color="auto" w:fill="5B9BD5" w:themeFill="accent1"/>
        </w:tcPr>
        <w:p w14:paraId="21846A66" w14:textId="77777777" w:rsidR="00F0571C" w:rsidRPr="005C7968" w:rsidRDefault="00F0571C" w:rsidP="00F0571C">
          <w:pPr>
            <w:pStyle w:val="Footer"/>
            <w:rPr>
              <w:sz w:val="20"/>
              <w:szCs w:val="20"/>
            </w:rPr>
          </w:pPr>
          <w:r w:rsidRPr="005C7968">
            <w:rPr>
              <w:sz w:val="20"/>
              <w:szCs w:val="20"/>
            </w:rPr>
            <w:t>Document Name:</w:t>
          </w:r>
        </w:p>
        <w:p w14:paraId="6FF293F5" w14:textId="6C0B56EA" w:rsidR="00F0571C" w:rsidRPr="005C7968" w:rsidRDefault="00F0571C" w:rsidP="00F0571C">
          <w:pPr>
            <w:pStyle w:val="Footer"/>
            <w:rPr>
              <w:sz w:val="20"/>
              <w:szCs w:val="20"/>
            </w:rPr>
          </w:pPr>
          <w:r>
            <w:rPr>
              <w:sz w:val="20"/>
              <w:szCs w:val="20"/>
            </w:rPr>
            <w:t>Fraud &amp; Malpractice Policy</w:t>
          </w:r>
        </w:p>
      </w:tc>
      <w:tc>
        <w:tcPr>
          <w:tcW w:w="3081" w:type="dxa"/>
          <w:shd w:val="clear" w:color="auto" w:fill="5B9BD5" w:themeFill="accent1"/>
        </w:tcPr>
        <w:p w14:paraId="48231417" w14:textId="77777777" w:rsidR="00F0571C" w:rsidRPr="005C7968" w:rsidRDefault="00F0571C" w:rsidP="00F0571C">
          <w:pPr>
            <w:pStyle w:val="Footer"/>
            <w:rPr>
              <w:sz w:val="20"/>
              <w:szCs w:val="20"/>
            </w:rPr>
          </w:pPr>
          <w:r w:rsidRPr="005C7968">
            <w:rPr>
              <w:sz w:val="20"/>
              <w:szCs w:val="20"/>
            </w:rPr>
            <w:t>Document Reference:</w:t>
          </w:r>
        </w:p>
        <w:p w14:paraId="04C69A64" w14:textId="498023B4" w:rsidR="00F0571C" w:rsidRPr="005C7968" w:rsidRDefault="00B57CC1" w:rsidP="00F0571C">
          <w:pPr>
            <w:pStyle w:val="Footer"/>
            <w:rPr>
              <w:sz w:val="20"/>
              <w:szCs w:val="20"/>
            </w:rPr>
          </w:pPr>
          <w:r>
            <w:rPr>
              <w:sz w:val="20"/>
              <w:szCs w:val="20"/>
            </w:rPr>
            <w:t>TC</w:t>
          </w:r>
          <w:r w:rsidR="00F0571C" w:rsidRPr="005C7968">
            <w:rPr>
              <w:sz w:val="20"/>
              <w:szCs w:val="20"/>
            </w:rPr>
            <w:t>/</w:t>
          </w:r>
          <w:r w:rsidR="00F0571C">
            <w:rPr>
              <w:sz w:val="20"/>
              <w:szCs w:val="20"/>
            </w:rPr>
            <w:t>CL</w:t>
          </w:r>
          <w:r w:rsidR="00F0571C" w:rsidRPr="005C7968">
            <w:rPr>
              <w:sz w:val="20"/>
              <w:szCs w:val="20"/>
            </w:rPr>
            <w:t>-1.</w:t>
          </w:r>
          <w:r w:rsidR="00F0571C">
            <w:rPr>
              <w:sz w:val="20"/>
              <w:szCs w:val="20"/>
            </w:rPr>
            <w:t>10</w:t>
          </w:r>
        </w:p>
      </w:tc>
      <w:tc>
        <w:tcPr>
          <w:tcW w:w="3081" w:type="dxa"/>
          <w:shd w:val="clear" w:color="auto" w:fill="5B9BD5" w:themeFill="accent1"/>
        </w:tcPr>
        <w:p w14:paraId="521D8E3F" w14:textId="77777777" w:rsidR="00F0571C" w:rsidRPr="005C7968" w:rsidRDefault="00F0571C" w:rsidP="00F0571C">
          <w:pPr>
            <w:pStyle w:val="Footer"/>
            <w:rPr>
              <w:sz w:val="20"/>
              <w:szCs w:val="20"/>
            </w:rPr>
          </w:pPr>
          <w:r w:rsidRPr="005C7968">
            <w:rPr>
              <w:sz w:val="20"/>
              <w:szCs w:val="20"/>
            </w:rPr>
            <w:t>Revision No./Date:</w:t>
          </w:r>
        </w:p>
        <w:p w14:paraId="52E6EF43" w14:textId="4CE79B66" w:rsidR="00F0571C" w:rsidRPr="005C7968" w:rsidRDefault="00B57CC1" w:rsidP="00F0571C">
          <w:pPr>
            <w:pStyle w:val="Footer"/>
            <w:rPr>
              <w:sz w:val="20"/>
              <w:szCs w:val="20"/>
            </w:rPr>
          </w:pPr>
          <w:r>
            <w:rPr>
              <w:sz w:val="20"/>
              <w:szCs w:val="20"/>
            </w:rPr>
            <w:t>1-</w:t>
          </w:r>
          <w:r w:rsidR="002D5534">
            <w:rPr>
              <w:sz w:val="20"/>
              <w:szCs w:val="20"/>
            </w:rPr>
            <w:t>August</w:t>
          </w:r>
          <w:r w:rsidR="00F0571C">
            <w:rPr>
              <w:sz w:val="20"/>
              <w:szCs w:val="20"/>
            </w:rPr>
            <w:t xml:space="preserve"> 2022</w:t>
          </w:r>
        </w:p>
      </w:tc>
    </w:tr>
  </w:tbl>
  <w:p w14:paraId="2A04E2CA" w14:textId="77777777" w:rsidR="00F0571C" w:rsidRDefault="00F05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05BF" w14:textId="77777777" w:rsidR="005F37E8" w:rsidRDefault="005F37E8" w:rsidP="007A5B50">
      <w:pPr>
        <w:spacing w:after="0" w:line="240" w:lineRule="auto"/>
      </w:pPr>
      <w:r>
        <w:separator/>
      </w:r>
    </w:p>
  </w:footnote>
  <w:footnote w:type="continuationSeparator" w:id="0">
    <w:p w14:paraId="220B0DC8" w14:textId="77777777" w:rsidR="005F37E8" w:rsidRDefault="005F37E8" w:rsidP="007A5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Look w:val="04A0" w:firstRow="1" w:lastRow="0" w:firstColumn="1" w:lastColumn="0" w:noHBand="0" w:noVBand="1"/>
    </w:tblPr>
    <w:tblGrid>
      <w:gridCol w:w="4665"/>
      <w:gridCol w:w="4577"/>
    </w:tblGrid>
    <w:tr w:rsidR="00F0571C" w:rsidRPr="00F0571C" w14:paraId="0A573363" w14:textId="77777777" w:rsidTr="00434C61">
      <w:tc>
        <w:tcPr>
          <w:tcW w:w="5949" w:type="dxa"/>
          <w:shd w:val="clear" w:color="auto" w:fill="5B9BD5" w:themeFill="accent1"/>
        </w:tcPr>
        <w:p w14:paraId="36520CFF" w14:textId="3D63B6A4" w:rsidR="00F0571C" w:rsidRPr="00F0571C" w:rsidRDefault="00F0571C" w:rsidP="00F0571C">
          <w:pPr>
            <w:numPr>
              <w:ilvl w:val="1"/>
              <w:numId w:val="19"/>
            </w:numPr>
            <w:spacing w:after="0" w:line="240" w:lineRule="auto"/>
            <w:rPr>
              <w:rFonts w:asciiTheme="majorHAnsi" w:eastAsiaTheme="minorHAnsi" w:hAnsiTheme="majorHAnsi" w:cstheme="majorHAnsi"/>
              <w:b/>
              <w:bCs/>
              <w:sz w:val="32"/>
              <w:szCs w:val="32"/>
            </w:rPr>
          </w:pPr>
          <w:r>
            <w:rPr>
              <w:rFonts w:asciiTheme="majorHAnsi" w:eastAsiaTheme="minorHAnsi" w:hAnsiTheme="majorHAnsi" w:cstheme="majorHAnsi"/>
              <w:b/>
              <w:bCs/>
              <w:sz w:val="32"/>
              <w:szCs w:val="32"/>
            </w:rPr>
            <w:t xml:space="preserve">Fraud &amp; Malpractice </w:t>
          </w:r>
          <w:r w:rsidRPr="00F0571C">
            <w:rPr>
              <w:rFonts w:asciiTheme="majorHAnsi" w:eastAsiaTheme="minorHAnsi" w:hAnsiTheme="majorHAnsi" w:cstheme="majorHAnsi"/>
              <w:b/>
              <w:bCs/>
              <w:sz w:val="32"/>
              <w:szCs w:val="32"/>
            </w:rPr>
            <w:t>Policy</w:t>
          </w:r>
        </w:p>
        <w:p w14:paraId="04C96EBA" w14:textId="77777777" w:rsidR="00F0571C" w:rsidRPr="00F0571C" w:rsidRDefault="00F0571C" w:rsidP="00F0571C">
          <w:pPr>
            <w:spacing w:after="0" w:line="240" w:lineRule="auto"/>
            <w:ind w:left="720"/>
            <w:rPr>
              <w:rFonts w:asciiTheme="majorHAnsi" w:eastAsiaTheme="minorHAnsi" w:hAnsiTheme="majorHAnsi" w:cstheme="majorHAnsi"/>
              <w:b/>
              <w:bCs/>
              <w:sz w:val="32"/>
              <w:szCs w:val="32"/>
            </w:rPr>
          </w:pPr>
        </w:p>
      </w:tc>
      <w:tc>
        <w:tcPr>
          <w:tcW w:w="3067" w:type="dxa"/>
        </w:tcPr>
        <w:p w14:paraId="3EA9921D" w14:textId="1A4005E6" w:rsidR="00F0571C" w:rsidRPr="00F0571C" w:rsidRDefault="00B57CC1" w:rsidP="00F0571C">
          <w:pPr>
            <w:spacing w:after="0" w:line="240" w:lineRule="auto"/>
            <w:rPr>
              <w:rFonts w:asciiTheme="minorHAnsi" w:eastAsiaTheme="minorHAnsi" w:hAnsiTheme="minorHAnsi" w:cstheme="minorBidi"/>
            </w:rPr>
          </w:pPr>
          <w:r>
            <w:rPr>
              <w:noProof/>
            </w:rPr>
            <w:drawing>
              <wp:inline distT="0" distB="0" distL="0" distR="0" wp14:anchorId="252F06D2" wp14:editId="18257DF5">
                <wp:extent cx="2769235" cy="638175"/>
                <wp:effectExtent l="0" t="0" r="0" b="952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69235" cy="638175"/>
                        </a:xfrm>
                        <a:prstGeom prst="rect">
                          <a:avLst/>
                        </a:prstGeom>
                      </pic:spPr>
                    </pic:pic>
                  </a:graphicData>
                </a:graphic>
              </wp:inline>
            </w:drawing>
          </w:r>
        </w:p>
      </w:tc>
    </w:tr>
  </w:tbl>
  <w:p w14:paraId="253B68E0" w14:textId="77777777" w:rsidR="007A5B50" w:rsidRDefault="007A5B50" w:rsidP="00D05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A12"/>
    <w:multiLevelType w:val="hybridMultilevel"/>
    <w:tmpl w:val="E8640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4041A"/>
    <w:multiLevelType w:val="hybridMultilevel"/>
    <w:tmpl w:val="E8E096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0248C"/>
    <w:multiLevelType w:val="hybridMultilevel"/>
    <w:tmpl w:val="107E2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C1A07"/>
    <w:multiLevelType w:val="hybridMultilevel"/>
    <w:tmpl w:val="7160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17D97"/>
    <w:multiLevelType w:val="hybridMultilevel"/>
    <w:tmpl w:val="1B968D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B259D7"/>
    <w:multiLevelType w:val="hybridMultilevel"/>
    <w:tmpl w:val="CBEE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A3C80"/>
    <w:multiLevelType w:val="hybridMultilevel"/>
    <w:tmpl w:val="966A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D1B1B"/>
    <w:multiLevelType w:val="multilevel"/>
    <w:tmpl w:val="4042962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3AF206C7"/>
    <w:multiLevelType w:val="multilevel"/>
    <w:tmpl w:val="8280FA9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3096655"/>
    <w:multiLevelType w:val="multilevel"/>
    <w:tmpl w:val="404296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12D70AB"/>
    <w:multiLevelType w:val="multilevel"/>
    <w:tmpl w:val="C9B24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38D1FA8"/>
    <w:multiLevelType w:val="multilevel"/>
    <w:tmpl w:val="77FEE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FE0B60"/>
    <w:multiLevelType w:val="multilevel"/>
    <w:tmpl w:val="37D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850846"/>
    <w:multiLevelType w:val="hybridMultilevel"/>
    <w:tmpl w:val="0D4E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BE1309"/>
    <w:multiLevelType w:val="hybridMultilevel"/>
    <w:tmpl w:val="CFE2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90768"/>
    <w:multiLevelType w:val="hybridMultilevel"/>
    <w:tmpl w:val="9724D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4E4D33"/>
    <w:multiLevelType w:val="hybridMultilevel"/>
    <w:tmpl w:val="A862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F235B"/>
    <w:multiLevelType w:val="hybridMultilevel"/>
    <w:tmpl w:val="B762E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B27E9A"/>
    <w:multiLevelType w:val="hybridMultilevel"/>
    <w:tmpl w:val="68725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9476895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9981147">
    <w:abstractNumId w:val="4"/>
  </w:num>
  <w:num w:numId="3" w16cid:durableId="906308246">
    <w:abstractNumId w:val="15"/>
  </w:num>
  <w:num w:numId="4" w16cid:durableId="296188381">
    <w:abstractNumId w:val="0"/>
  </w:num>
  <w:num w:numId="5" w16cid:durableId="710543616">
    <w:abstractNumId w:val="18"/>
  </w:num>
  <w:num w:numId="6" w16cid:durableId="1176074157">
    <w:abstractNumId w:val="17"/>
  </w:num>
  <w:num w:numId="7" w16cid:durableId="295306011">
    <w:abstractNumId w:val="13"/>
  </w:num>
  <w:num w:numId="8" w16cid:durableId="717823445">
    <w:abstractNumId w:val="7"/>
  </w:num>
  <w:num w:numId="9" w16cid:durableId="19403196">
    <w:abstractNumId w:val="9"/>
  </w:num>
  <w:num w:numId="10" w16cid:durableId="1603344058">
    <w:abstractNumId w:val="11"/>
  </w:num>
  <w:num w:numId="11" w16cid:durableId="1557620606">
    <w:abstractNumId w:val="12"/>
  </w:num>
  <w:num w:numId="12" w16cid:durableId="750658177">
    <w:abstractNumId w:val="16"/>
  </w:num>
  <w:num w:numId="13" w16cid:durableId="1786188964">
    <w:abstractNumId w:val="1"/>
  </w:num>
  <w:num w:numId="14" w16cid:durableId="2038506969">
    <w:abstractNumId w:val="2"/>
  </w:num>
  <w:num w:numId="15" w16cid:durableId="892736004">
    <w:abstractNumId w:val="5"/>
  </w:num>
  <w:num w:numId="16" w16cid:durableId="1208448148">
    <w:abstractNumId w:val="3"/>
  </w:num>
  <w:num w:numId="17" w16cid:durableId="1895043474">
    <w:abstractNumId w:val="14"/>
  </w:num>
  <w:num w:numId="18" w16cid:durableId="1565292314">
    <w:abstractNumId w:val="6"/>
  </w:num>
  <w:num w:numId="19" w16cid:durableId="734358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5B50"/>
    <w:rsid w:val="00017058"/>
    <w:rsid w:val="000779B7"/>
    <w:rsid w:val="00174A5E"/>
    <w:rsid w:val="00181E9F"/>
    <w:rsid w:val="0022222A"/>
    <w:rsid w:val="002227B0"/>
    <w:rsid w:val="002523E8"/>
    <w:rsid w:val="002638AE"/>
    <w:rsid w:val="002921C6"/>
    <w:rsid w:val="002D5534"/>
    <w:rsid w:val="005C699A"/>
    <w:rsid w:val="005D28F3"/>
    <w:rsid w:val="005F37E8"/>
    <w:rsid w:val="0062631E"/>
    <w:rsid w:val="00713623"/>
    <w:rsid w:val="00745B4F"/>
    <w:rsid w:val="007563D3"/>
    <w:rsid w:val="007A5B50"/>
    <w:rsid w:val="007B7C83"/>
    <w:rsid w:val="008022EB"/>
    <w:rsid w:val="008762AA"/>
    <w:rsid w:val="00926A04"/>
    <w:rsid w:val="00A74C3B"/>
    <w:rsid w:val="00AB7E1B"/>
    <w:rsid w:val="00B43F68"/>
    <w:rsid w:val="00B57CC1"/>
    <w:rsid w:val="00B82DBE"/>
    <w:rsid w:val="00BA6615"/>
    <w:rsid w:val="00BB4897"/>
    <w:rsid w:val="00BC1AAF"/>
    <w:rsid w:val="00C02028"/>
    <w:rsid w:val="00D05449"/>
    <w:rsid w:val="00D430FB"/>
    <w:rsid w:val="00DF3AF7"/>
    <w:rsid w:val="00EB25AA"/>
    <w:rsid w:val="00F0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CBA1E"/>
  <w15:docId w15:val="{69C3FE17-AA1D-42DA-AB73-D9DE248F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5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523E8"/>
    <w:pPr>
      <w:keepNext/>
      <w:spacing w:before="240" w:after="60" w:line="240" w:lineRule="auto"/>
      <w:outlineLvl w:val="0"/>
    </w:pPr>
    <w:rPr>
      <w:rFonts w:ascii="Arial" w:eastAsia="Times New Roman" w:hAnsi="Arial"/>
      <w:b/>
      <w:kern w:val="28"/>
      <w:sz w:val="28"/>
      <w:szCs w:val="20"/>
    </w:rPr>
  </w:style>
  <w:style w:type="paragraph" w:styleId="Heading2">
    <w:name w:val="heading 2"/>
    <w:basedOn w:val="Normal"/>
    <w:next w:val="Normal"/>
    <w:link w:val="Heading2Char"/>
    <w:qFormat/>
    <w:rsid w:val="002523E8"/>
    <w:pPr>
      <w:keepNext/>
      <w:spacing w:after="0" w:line="240" w:lineRule="auto"/>
      <w:outlineLvl w:val="1"/>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5B50"/>
    <w:pPr>
      <w:tabs>
        <w:tab w:val="center" w:pos="4513"/>
        <w:tab w:val="right" w:pos="9026"/>
      </w:tabs>
      <w:spacing w:after="0" w:line="240" w:lineRule="auto"/>
    </w:pPr>
  </w:style>
  <w:style w:type="character" w:customStyle="1" w:styleId="HeaderChar">
    <w:name w:val="Header Char"/>
    <w:basedOn w:val="DefaultParagraphFont"/>
    <w:link w:val="Header"/>
    <w:rsid w:val="007A5B50"/>
  </w:style>
  <w:style w:type="paragraph" w:styleId="Footer">
    <w:name w:val="footer"/>
    <w:basedOn w:val="Normal"/>
    <w:link w:val="FooterChar"/>
    <w:uiPriority w:val="99"/>
    <w:unhideWhenUsed/>
    <w:rsid w:val="007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B50"/>
  </w:style>
  <w:style w:type="table" w:styleId="TableGrid">
    <w:name w:val="Table Grid"/>
    <w:basedOn w:val="TableNormal"/>
    <w:uiPriority w:val="39"/>
    <w:rsid w:val="007A5B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45B4F"/>
    <w:pPr>
      <w:spacing w:after="0" w:line="240" w:lineRule="auto"/>
    </w:pPr>
    <w:rPr>
      <w:rFonts w:ascii="Times New Roman" w:eastAsia="Times New Roman" w:hAnsi="Times New Roman"/>
      <w:szCs w:val="20"/>
      <w:lang w:eastAsia="en-GB"/>
    </w:rPr>
  </w:style>
  <w:style w:type="character" w:customStyle="1" w:styleId="BodyText2Char">
    <w:name w:val="Body Text 2 Char"/>
    <w:basedOn w:val="DefaultParagraphFont"/>
    <w:link w:val="BodyText2"/>
    <w:rsid w:val="00745B4F"/>
    <w:rPr>
      <w:rFonts w:ascii="Times New Roman" w:eastAsia="Times New Roman" w:hAnsi="Times New Roman" w:cs="Times New Roman"/>
      <w:szCs w:val="20"/>
      <w:lang w:eastAsia="en-GB"/>
    </w:rPr>
  </w:style>
  <w:style w:type="paragraph" w:styleId="FootnoteText">
    <w:name w:val="footnote text"/>
    <w:basedOn w:val="Normal"/>
    <w:link w:val="FootnoteTextChar"/>
    <w:semiHidden/>
    <w:rsid w:val="00745B4F"/>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sid w:val="00745B4F"/>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745B4F"/>
    <w:rPr>
      <w:vertAlign w:val="superscript"/>
    </w:rPr>
  </w:style>
  <w:style w:type="character" w:styleId="Hyperlink">
    <w:name w:val="Hyperlink"/>
    <w:basedOn w:val="DefaultParagraphFont"/>
    <w:uiPriority w:val="99"/>
    <w:unhideWhenUsed/>
    <w:rsid w:val="00B43F68"/>
    <w:rPr>
      <w:strike w:val="0"/>
      <w:dstrike w:val="0"/>
      <w:color w:val="0000FF"/>
      <w:u w:val="none"/>
      <w:effect w:val="none"/>
    </w:rPr>
  </w:style>
  <w:style w:type="paragraph" w:styleId="BodyText">
    <w:name w:val="Body Text"/>
    <w:basedOn w:val="Normal"/>
    <w:link w:val="BodyTextChar"/>
    <w:uiPriority w:val="99"/>
    <w:semiHidden/>
    <w:unhideWhenUsed/>
    <w:rsid w:val="002523E8"/>
    <w:pPr>
      <w:spacing w:after="120"/>
    </w:pPr>
  </w:style>
  <w:style w:type="character" w:customStyle="1" w:styleId="BodyTextChar">
    <w:name w:val="Body Text Char"/>
    <w:basedOn w:val="DefaultParagraphFont"/>
    <w:link w:val="BodyText"/>
    <w:uiPriority w:val="99"/>
    <w:semiHidden/>
    <w:rsid w:val="002523E8"/>
    <w:rPr>
      <w:rFonts w:ascii="Calibri" w:eastAsia="Calibri" w:hAnsi="Calibri" w:cs="Times New Roman"/>
    </w:rPr>
  </w:style>
  <w:style w:type="character" w:customStyle="1" w:styleId="Heading1Char">
    <w:name w:val="Heading 1 Char"/>
    <w:basedOn w:val="DefaultParagraphFont"/>
    <w:link w:val="Heading1"/>
    <w:rsid w:val="002523E8"/>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523E8"/>
    <w:rPr>
      <w:rFonts w:ascii="Arial" w:eastAsia="Times New Roman" w:hAnsi="Arial" w:cs="Times New Roman"/>
      <w:b/>
      <w:sz w:val="24"/>
      <w:szCs w:val="20"/>
    </w:rPr>
  </w:style>
  <w:style w:type="paragraph" w:styleId="NormalWeb">
    <w:name w:val="Normal (Web)"/>
    <w:basedOn w:val="Normal"/>
    <w:rsid w:val="007B7C83"/>
    <w:pPr>
      <w:spacing w:before="100" w:beforeAutospacing="1" w:after="100" w:afterAutospacing="1" w:line="240" w:lineRule="auto"/>
    </w:pPr>
    <w:rPr>
      <w:rFonts w:ascii="Verdana" w:eastAsia="Times New Roman" w:hAnsi="Verdana"/>
      <w:color w:val="003366"/>
      <w:sz w:val="18"/>
      <w:szCs w:val="18"/>
      <w:lang w:val="en-US"/>
    </w:rPr>
  </w:style>
  <w:style w:type="paragraph" w:styleId="BalloonText">
    <w:name w:val="Balloon Text"/>
    <w:basedOn w:val="Normal"/>
    <w:link w:val="BalloonTextChar"/>
    <w:uiPriority w:val="99"/>
    <w:semiHidden/>
    <w:unhideWhenUsed/>
    <w:rsid w:val="005C6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99A"/>
    <w:rPr>
      <w:rFonts w:ascii="Segoe UI" w:eastAsia="Calibri" w:hAnsi="Segoe UI" w:cs="Segoe UI"/>
      <w:sz w:val="18"/>
      <w:szCs w:val="18"/>
    </w:rPr>
  </w:style>
  <w:style w:type="table" w:customStyle="1" w:styleId="TableGrid1">
    <w:name w:val="Table Grid1"/>
    <w:basedOn w:val="TableNormal"/>
    <w:next w:val="TableGrid"/>
    <w:uiPriority w:val="39"/>
    <w:rsid w:val="00F0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C02028"/>
    <w:pPr>
      <w:widowControl w:val="0"/>
      <w:spacing w:before="100" w:after="100" w:line="240" w:lineRule="auto"/>
      <w:ind w:left="360" w:right="36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1164">
      <w:bodyDiv w:val="1"/>
      <w:marLeft w:val="0"/>
      <w:marRight w:val="0"/>
      <w:marTop w:val="0"/>
      <w:marBottom w:val="0"/>
      <w:divBdr>
        <w:top w:val="none" w:sz="0" w:space="0" w:color="auto"/>
        <w:left w:val="none" w:sz="0" w:space="0" w:color="auto"/>
        <w:bottom w:val="none" w:sz="0" w:space="0" w:color="auto"/>
        <w:right w:val="none" w:sz="0" w:space="0" w:color="auto"/>
      </w:divBdr>
    </w:div>
    <w:div w:id="1120609756">
      <w:bodyDiv w:val="1"/>
      <w:marLeft w:val="0"/>
      <w:marRight w:val="0"/>
      <w:marTop w:val="0"/>
      <w:marBottom w:val="0"/>
      <w:divBdr>
        <w:top w:val="none" w:sz="0" w:space="0" w:color="auto"/>
        <w:left w:val="none" w:sz="0" w:space="0" w:color="auto"/>
        <w:bottom w:val="none" w:sz="0" w:space="0" w:color="auto"/>
        <w:right w:val="none" w:sz="0" w:space="0" w:color="auto"/>
      </w:divBdr>
    </w:div>
    <w:div w:id="1274750365">
      <w:bodyDiv w:val="1"/>
      <w:marLeft w:val="0"/>
      <w:marRight w:val="0"/>
      <w:marTop w:val="0"/>
      <w:marBottom w:val="0"/>
      <w:divBdr>
        <w:top w:val="none" w:sz="0" w:space="0" w:color="auto"/>
        <w:left w:val="none" w:sz="0" w:space="0" w:color="auto"/>
        <w:bottom w:val="none" w:sz="0" w:space="0" w:color="auto"/>
        <w:right w:val="none" w:sz="0" w:space="0" w:color="auto"/>
      </w:divBdr>
    </w:div>
    <w:div w:id="1546604899">
      <w:bodyDiv w:val="1"/>
      <w:marLeft w:val="0"/>
      <w:marRight w:val="0"/>
      <w:marTop w:val="0"/>
      <w:marBottom w:val="0"/>
      <w:divBdr>
        <w:top w:val="none" w:sz="0" w:space="0" w:color="auto"/>
        <w:left w:val="none" w:sz="0" w:space="0" w:color="auto"/>
        <w:bottom w:val="none" w:sz="0" w:space="0" w:color="auto"/>
        <w:right w:val="none" w:sz="0" w:space="0" w:color="auto"/>
      </w:divBdr>
    </w:div>
    <w:div w:id="165086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caw.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EB60E18B5DEC489B2BD40F90D551DC" ma:contentTypeVersion="16" ma:contentTypeDescription="Create a new document." ma:contentTypeScope="" ma:versionID="a1206d270ab74268bc881a05bf7bf128">
  <xsd:schema xmlns:xsd="http://www.w3.org/2001/XMLSchema" xmlns:xs="http://www.w3.org/2001/XMLSchema" xmlns:p="http://schemas.microsoft.com/office/2006/metadata/properties" xmlns:ns2="b1a9e682-f94c-42cb-b12b-c2bc6def5c22" xmlns:ns3="c9267603-068e-4e42-9f73-f34b6781e48b" targetNamespace="http://schemas.microsoft.com/office/2006/metadata/properties" ma:root="true" ma:fieldsID="5a1c52e19f15acc686801ad8f753ea97" ns2:_="" ns3:_="">
    <xsd:import namespace="b1a9e682-f94c-42cb-b12b-c2bc6def5c22"/>
    <xsd:import namespace="c9267603-068e-4e42-9f73-f34b6781e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9e682-f94c-42cb-b12b-c2bc6def5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a5e447-b9a3-4d5b-9944-86e1df719e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267603-068e-4e42-9f73-f34b6781e4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e690c8-fc05-44da-9f02-3274ba326209}" ma:internalName="TaxCatchAll" ma:showField="CatchAllData" ma:web="c9267603-068e-4e42-9f73-f34b6781e4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6CE18-A449-43BE-8708-2DD85E863AE5}">
  <ds:schemaRefs>
    <ds:schemaRef ds:uri="http://schemas.microsoft.com/sharepoint/v3/contenttype/forms"/>
  </ds:schemaRefs>
</ds:datastoreItem>
</file>

<file path=customXml/itemProps2.xml><?xml version="1.0" encoding="utf-8"?>
<ds:datastoreItem xmlns:ds="http://schemas.openxmlformats.org/officeDocument/2006/customXml" ds:itemID="{7075F983-9860-4486-8DB4-237090F2A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9e682-f94c-42cb-b12b-c2bc6def5c22"/>
    <ds:schemaRef ds:uri="c9267603-068e-4e42-9f73-f34b6781e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Euan Oattes</cp:lastModifiedBy>
  <cp:revision>17</cp:revision>
  <cp:lastPrinted>2016-06-20T12:46:00Z</cp:lastPrinted>
  <dcterms:created xsi:type="dcterms:W3CDTF">2013-11-19T09:37:00Z</dcterms:created>
  <dcterms:modified xsi:type="dcterms:W3CDTF">2022-10-20T07:50:00Z</dcterms:modified>
</cp:coreProperties>
</file>