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2BB4" w14:textId="77777777" w:rsidR="002D6D1B" w:rsidRDefault="002D6D1B" w:rsidP="00003A4D">
      <w:pPr>
        <w:rPr>
          <w:b/>
        </w:rPr>
      </w:pPr>
    </w:p>
    <w:p w14:paraId="2FEC6F5B" w14:textId="77777777" w:rsidR="002D6D1B" w:rsidRDefault="002D6D1B" w:rsidP="00003A4D">
      <w:pPr>
        <w:rPr>
          <w:b/>
        </w:rPr>
      </w:pPr>
    </w:p>
    <w:p w14:paraId="5B37C658" w14:textId="3E467467" w:rsidR="00003A4D" w:rsidRPr="002D6D1B" w:rsidRDefault="00003A4D" w:rsidP="00003A4D">
      <w:pPr>
        <w:rPr>
          <w:b/>
          <w:sz w:val="32"/>
          <w:szCs w:val="32"/>
        </w:rPr>
      </w:pPr>
      <w:r w:rsidRPr="002D6D1B">
        <w:rPr>
          <w:b/>
          <w:sz w:val="32"/>
          <w:szCs w:val="32"/>
        </w:rPr>
        <w:t>Introduction</w:t>
      </w:r>
    </w:p>
    <w:p w14:paraId="3395A86D" w14:textId="3C2E2450" w:rsidR="00003A4D" w:rsidRDefault="00970C04" w:rsidP="00003A4D">
      <w:r>
        <w:t>Total</w:t>
      </w:r>
      <w:r w:rsidR="00C63CA6">
        <w:t>-</w:t>
      </w:r>
      <w:r>
        <w:t>Cleaning</w:t>
      </w:r>
      <w:r w:rsidR="00C63CA6">
        <w:t>.Com</w:t>
      </w:r>
      <w:r w:rsidR="00003A4D">
        <w:t xml:space="preserve"> recognises its responsibilities under the Health and Safety at Work etc. Act 1974 and the Control of Asbestos Regulations 2012 and will take account of all related Approved Codes of Practice and Guidance.</w:t>
      </w:r>
    </w:p>
    <w:p w14:paraId="20710765" w14:textId="43511E12" w:rsidR="00003A4D" w:rsidRDefault="00003A4D" w:rsidP="00003A4D">
      <w:r>
        <w:t>Within this policy “asbestos” refers to any fibrous form of:</w:t>
      </w:r>
    </w:p>
    <w:p w14:paraId="2B357001" w14:textId="77777777" w:rsidR="00003A4D" w:rsidRDefault="00003A4D" w:rsidP="00003A4D">
      <w:pPr>
        <w:pStyle w:val="ListParagraph"/>
        <w:numPr>
          <w:ilvl w:val="0"/>
          <w:numId w:val="12"/>
        </w:numPr>
      </w:pPr>
      <w:r>
        <w:t>Crocidolite – blue asbestos</w:t>
      </w:r>
    </w:p>
    <w:p w14:paraId="3C16A6B0" w14:textId="77777777" w:rsidR="00003A4D" w:rsidRDefault="00003A4D" w:rsidP="00003A4D">
      <w:pPr>
        <w:pStyle w:val="ListParagraph"/>
        <w:numPr>
          <w:ilvl w:val="0"/>
          <w:numId w:val="12"/>
        </w:numPr>
      </w:pPr>
      <w:r>
        <w:t>Amosite – brown asbestos</w:t>
      </w:r>
    </w:p>
    <w:p w14:paraId="4C057CFD" w14:textId="77777777" w:rsidR="00003A4D" w:rsidRDefault="00003A4D" w:rsidP="00003A4D">
      <w:pPr>
        <w:pStyle w:val="ListParagraph"/>
        <w:numPr>
          <w:ilvl w:val="0"/>
          <w:numId w:val="12"/>
        </w:numPr>
      </w:pPr>
      <w:r>
        <w:t>Chrysotile – white asbestos</w:t>
      </w:r>
    </w:p>
    <w:p w14:paraId="0998C197" w14:textId="77777777" w:rsidR="00003A4D" w:rsidRDefault="00003A4D" w:rsidP="00003A4D">
      <w:pPr>
        <w:pStyle w:val="ListParagraph"/>
        <w:numPr>
          <w:ilvl w:val="0"/>
          <w:numId w:val="12"/>
        </w:numPr>
      </w:pPr>
      <w:r>
        <w:t>Anthophyllite</w:t>
      </w:r>
    </w:p>
    <w:p w14:paraId="444782DD" w14:textId="77777777" w:rsidR="00003A4D" w:rsidRDefault="00003A4D" w:rsidP="00003A4D">
      <w:pPr>
        <w:pStyle w:val="ListParagraph"/>
        <w:numPr>
          <w:ilvl w:val="0"/>
          <w:numId w:val="12"/>
        </w:numPr>
      </w:pPr>
      <w:r>
        <w:t>Tremolite</w:t>
      </w:r>
    </w:p>
    <w:p w14:paraId="06743D4B" w14:textId="77777777" w:rsidR="00003A4D" w:rsidRDefault="00003A4D" w:rsidP="00003A4D">
      <w:pPr>
        <w:pStyle w:val="ListParagraph"/>
        <w:numPr>
          <w:ilvl w:val="0"/>
          <w:numId w:val="12"/>
        </w:numPr>
      </w:pPr>
      <w:r>
        <w:t>Actinolite</w:t>
      </w:r>
    </w:p>
    <w:p w14:paraId="64ED29B5" w14:textId="19FB6F4F" w:rsidR="00003A4D" w:rsidRDefault="00003A4D" w:rsidP="00003A4D">
      <w:r>
        <w:t>and any mixture which contains one or more of the above.</w:t>
      </w:r>
    </w:p>
    <w:p w14:paraId="54F974CD" w14:textId="5DE9EA36" w:rsidR="00003A4D" w:rsidRDefault="00003A4D" w:rsidP="00003A4D">
      <w:r>
        <w:t>The presence of asbestos containing materials (ACMs) does not in itself constitute a danger. However, it is hazardous when disturbed or damaged and must be treated accordingly.  Activities which give rise to airborne dust, e.g. abrasion, breaking, sawing, cutting, drilling or machining ACMs, are most likely to present risks.</w:t>
      </w:r>
    </w:p>
    <w:p w14:paraId="6399C462" w14:textId="0871ED34" w:rsidR="00003A4D" w:rsidRDefault="00003A4D" w:rsidP="00003A4D">
      <w:r>
        <w:t xml:space="preserve">Staff and contractors not trained to work with asbestos are not expected to work with or be exposed to asbestos on </w:t>
      </w:r>
      <w:r w:rsidR="00970C04">
        <w:t>Total Cleaning</w:t>
      </w:r>
      <w:r>
        <w:t xml:space="preserve"> sites.</w:t>
      </w:r>
    </w:p>
    <w:p w14:paraId="029B15E5" w14:textId="142C672F" w:rsidR="00003A4D" w:rsidRDefault="00003A4D" w:rsidP="00003A4D">
      <w:r>
        <w:t>A limited number of staff whose normal duties may bring them into contact with existing asbestos containing materials (e.g. electrical, mechanical or building maintenance staff) will be trained in asbestos awareness.</w:t>
      </w:r>
    </w:p>
    <w:p w14:paraId="5B3BE48C" w14:textId="77777777" w:rsidR="00003A4D" w:rsidRDefault="00003A4D" w:rsidP="00003A4D"/>
    <w:p w14:paraId="74CA4417" w14:textId="77777777" w:rsidR="00003A4D" w:rsidRDefault="00003A4D" w:rsidP="00003A4D"/>
    <w:p w14:paraId="1FC6BED8" w14:textId="77777777" w:rsidR="00003A4D" w:rsidRDefault="00003A4D" w:rsidP="00003A4D"/>
    <w:p w14:paraId="1A59113C" w14:textId="77777777" w:rsidR="00003A4D" w:rsidRDefault="00003A4D" w:rsidP="00003A4D"/>
    <w:p w14:paraId="4DBF3250" w14:textId="77777777" w:rsidR="00003A4D" w:rsidRDefault="00003A4D" w:rsidP="00003A4D"/>
    <w:p w14:paraId="24888983" w14:textId="77777777" w:rsidR="00003A4D" w:rsidRDefault="00003A4D" w:rsidP="00003A4D"/>
    <w:p w14:paraId="7B2B71A3" w14:textId="77777777" w:rsidR="00003A4D" w:rsidRDefault="00003A4D" w:rsidP="00003A4D"/>
    <w:p w14:paraId="6DA71C85" w14:textId="77777777" w:rsidR="00003A4D" w:rsidRPr="002D6D1B" w:rsidRDefault="00003A4D" w:rsidP="00003A4D">
      <w:pPr>
        <w:rPr>
          <w:b/>
          <w:bCs/>
          <w:sz w:val="32"/>
          <w:szCs w:val="32"/>
        </w:rPr>
      </w:pPr>
    </w:p>
    <w:p w14:paraId="361B14B6" w14:textId="77777777" w:rsidR="002D6D1B" w:rsidRDefault="002D6D1B" w:rsidP="00003A4D">
      <w:pPr>
        <w:rPr>
          <w:b/>
          <w:bCs/>
          <w:sz w:val="32"/>
          <w:szCs w:val="32"/>
        </w:rPr>
      </w:pPr>
    </w:p>
    <w:p w14:paraId="12A39D5A" w14:textId="47F66AC6" w:rsidR="00003A4D" w:rsidRPr="002D6D1B" w:rsidRDefault="00003A4D" w:rsidP="00003A4D">
      <w:pPr>
        <w:rPr>
          <w:b/>
          <w:bCs/>
          <w:sz w:val="32"/>
          <w:szCs w:val="32"/>
        </w:rPr>
      </w:pPr>
      <w:r w:rsidRPr="002D6D1B">
        <w:rPr>
          <w:b/>
          <w:bCs/>
          <w:sz w:val="32"/>
          <w:szCs w:val="32"/>
        </w:rPr>
        <w:t>ASBESTOS POLICY STATEMENT</w:t>
      </w:r>
    </w:p>
    <w:p w14:paraId="6AAE0C46" w14:textId="2E385619" w:rsidR="00003A4D" w:rsidRDefault="00970C04" w:rsidP="00003A4D">
      <w:r>
        <w:t>Total</w:t>
      </w:r>
      <w:r w:rsidR="00C63CA6">
        <w:t>-</w:t>
      </w:r>
      <w:r>
        <w:t>Cleaning</w:t>
      </w:r>
      <w:r w:rsidR="00C63CA6">
        <w:t>.Com</w:t>
      </w:r>
      <w:r w:rsidR="00003A4D">
        <w:t xml:space="preserve"> will</w:t>
      </w:r>
    </w:p>
    <w:p w14:paraId="2129F6C8" w14:textId="17A1EFB3" w:rsidR="00003A4D" w:rsidRDefault="00003A4D" w:rsidP="00003A4D">
      <w:pPr>
        <w:pStyle w:val="ListParagraph"/>
        <w:numPr>
          <w:ilvl w:val="0"/>
          <w:numId w:val="11"/>
        </w:numPr>
      </w:pPr>
      <w:r>
        <w:t>appoint an Asbestos Competent Person;</w:t>
      </w:r>
    </w:p>
    <w:p w14:paraId="3A755D8D" w14:textId="77777777" w:rsidR="00003A4D" w:rsidRDefault="00003A4D" w:rsidP="00003A4D">
      <w:pPr>
        <w:pStyle w:val="ListParagraph"/>
      </w:pPr>
    </w:p>
    <w:p w14:paraId="61ED13F2" w14:textId="4392B48D" w:rsidR="00003A4D" w:rsidRDefault="00003A4D" w:rsidP="00003A4D">
      <w:pPr>
        <w:pStyle w:val="ListParagraph"/>
        <w:numPr>
          <w:ilvl w:val="0"/>
          <w:numId w:val="11"/>
        </w:numPr>
      </w:pPr>
      <w:r>
        <w:t>produce an asbestos procedure including the implementation of an effective asbestos containing materials management plan so that appropriate measures, such as monitoring, encapsulation, sealing, labelling, inspection or removal of the material are undertaken;</w:t>
      </w:r>
    </w:p>
    <w:p w14:paraId="6E256641" w14:textId="77777777" w:rsidR="00003A4D" w:rsidRDefault="00003A4D" w:rsidP="00003A4D">
      <w:pPr>
        <w:pStyle w:val="ListParagraph"/>
      </w:pPr>
    </w:p>
    <w:p w14:paraId="5F231B15" w14:textId="2BD0AE12" w:rsidR="00003A4D" w:rsidRDefault="00003A4D" w:rsidP="00003A4D">
      <w:pPr>
        <w:pStyle w:val="ListParagraph"/>
        <w:numPr>
          <w:ilvl w:val="0"/>
          <w:numId w:val="11"/>
        </w:numPr>
      </w:pPr>
      <w:r>
        <w:t>periodically review this policy and the procedures in the light of any legal changes, further information or incidents;</w:t>
      </w:r>
    </w:p>
    <w:p w14:paraId="7FB2B616" w14:textId="77777777" w:rsidR="00003A4D" w:rsidRDefault="00003A4D" w:rsidP="00003A4D">
      <w:pPr>
        <w:pStyle w:val="ListParagraph"/>
      </w:pPr>
    </w:p>
    <w:p w14:paraId="60D2CB3F" w14:textId="06006A20" w:rsidR="00003A4D" w:rsidRDefault="00003A4D" w:rsidP="00003A4D">
      <w:pPr>
        <w:pStyle w:val="ListParagraph"/>
        <w:numPr>
          <w:ilvl w:val="0"/>
          <w:numId w:val="11"/>
        </w:numPr>
      </w:pPr>
      <w:r>
        <w:t>produce and maintain an asbestos register and make this available to staff, contractors and others who may be brought into contact with asbestos as part of their activities;</w:t>
      </w:r>
    </w:p>
    <w:p w14:paraId="58F3F21D" w14:textId="77777777" w:rsidR="00003A4D" w:rsidRDefault="00003A4D" w:rsidP="00003A4D">
      <w:pPr>
        <w:pStyle w:val="ListParagraph"/>
      </w:pPr>
    </w:p>
    <w:p w14:paraId="11CC08D4" w14:textId="219C2DFC" w:rsidR="00003A4D" w:rsidRDefault="00003A4D" w:rsidP="00003A4D">
      <w:pPr>
        <w:pStyle w:val="ListParagraph"/>
        <w:numPr>
          <w:ilvl w:val="0"/>
          <w:numId w:val="11"/>
        </w:numPr>
      </w:pPr>
      <w:r>
        <w:t>promote awareness of the hazards of asbestos and the management procedures through information and training;</w:t>
      </w:r>
    </w:p>
    <w:p w14:paraId="7F9CE227" w14:textId="77777777" w:rsidR="00003A4D" w:rsidRDefault="00003A4D" w:rsidP="00003A4D">
      <w:pPr>
        <w:pStyle w:val="ListParagraph"/>
      </w:pPr>
    </w:p>
    <w:p w14:paraId="5B7B77CB" w14:textId="409CE88E" w:rsidR="00003A4D" w:rsidRDefault="00003A4D" w:rsidP="00003A4D">
      <w:pPr>
        <w:pStyle w:val="ListParagraph"/>
        <w:numPr>
          <w:ilvl w:val="0"/>
          <w:numId w:val="11"/>
        </w:numPr>
      </w:pPr>
      <w:r>
        <w:t>prevent exposure to hazards associated with asbestos.</w:t>
      </w:r>
    </w:p>
    <w:p w14:paraId="5E926920" w14:textId="77777777" w:rsidR="00003A4D" w:rsidRDefault="00003A4D" w:rsidP="00003A4D">
      <w:pPr>
        <w:pStyle w:val="ListParagraph"/>
      </w:pPr>
    </w:p>
    <w:p w14:paraId="2B7CF9CD" w14:textId="31D7CCCA" w:rsidR="00003A4D" w:rsidRDefault="00003A4D" w:rsidP="00003A4D">
      <w:pPr>
        <w:pStyle w:val="ListParagraph"/>
        <w:numPr>
          <w:ilvl w:val="0"/>
          <w:numId w:val="11"/>
        </w:numPr>
      </w:pPr>
      <w:r>
        <w:t>Responsibility for the implementation of this policy and the management of asbestos for all parts of the University, whether owned, rented or leased, is delegated to the Estates Department.</w:t>
      </w:r>
    </w:p>
    <w:p w14:paraId="3ED824E5" w14:textId="77777777" w:rsidR="00003A4D" w:rsidRDefault="00003A4D" w:rsidP="00003A4D">
      <w:pPr>
        <w:pStyle w:val="ListParagraph"/>
      </w:pPr>
    </w:p>
    <w:p w14:paraId="2540EB19" w14:textId="4C20951A" w:rsidR="00BA6615" w:rsidRDefault="00003A4D" w:rsidP="00003A4D">
      <w:r>
        <w:t xml:space="preserve">The Health and </w:t>
      </w:r>
      <w:r w:rsidR="002D6D1B">
        <w:t>S</w:t>
      </w:r>
      <w:r>
        <w:t>afety Advisor will audit compliance with this policy.</w:t>
      </w:r>
    </w:p>
    <w:p w14:paraId="3383268D" w14:textId="496ACBAF" w:rsidR="00003A4D" w:rsidRDefault="00003A4D" w:rsidP="00003A4D"/>
    <w:p w14:paraId="2C3DB442" w14:textId="2849276D" w:rsidR="00003A4D" w:rsidRDefault="00003A4D" w:rsidP="00003A4D"/>
    <w:p w14:paraId="424BBA73" w14:textId="77777777" w:rsidR="00C63CA6" w:rsidRDefault="00C63CA6" w:rsidP="00C63CA6">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6E3C9E8C" w14:textId="77777777" w:rsidR="00C63CA6" w:rsidRDefault="00C63CA6" w:rsidP="00C63CA6">
      <w:pPr>
        <w:pStyle w:val="Blockquote"/>
        <w:spacing w:after="0"/>
        <w:ind w:right="720"/>
        <w:rPr>
          <w:rFonts w:asciiTheme="minorHAnsi" w:hAnsiTheme="minorHAnsi" w:cstheme="minorHAnsi"/>
          <w:sz w:val="20"/>
        </w:rPr>
      </w:pPr>
    </w:p>
    <w:p w14:paraId="269B59B8" w14:textId="77777777" w:rsidR="00C63CA6" w:rsidRPr="00A53024" w:rsidRDefault="00C63CA6" w:rsidP="00C63CA6">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5B904C51" w14:textId="77777777" w:rsidR="002D6D1B" w:rsidRPr="002D6D1B" w:rsidRDefault="002D6D1B" w:rsidP="002D6D1B"/>
    <w:sectPr w:rsidR="002D6D1B" w:rsidRPr="002D6D1B" w:rsidSect="00E522A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E376" w14:textId="77777777" w:rsidR="0070059F" w:rsidRDefault="0070059F" w:rsidP="007A5B50">
      <w:pPr>
        <w:spacing w:after="0" w:line="240" w:lineRule="auto"/>
      </w:pPr>
      <w:r>
        <w:separator/>
      </w:r>
    </w:p>
  </w:endnote>
  <w:endnote w:type="continuationSeparator" w:id="0">
    <w:p w14:paraId="425C49C4" w14:textId="77777777" w:rsidR="0070059F" w:rsidRDefault="0070059F"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7"/>
      <w:gridCol w:w="3004"/>
    </w:tblGrid>
    <w:tr w:rsidR="002D6D1B" w14:paraId="4D4D988A" w14:textId="77777777" w:rsidTr="00434C61">
      <w:tc>
        <w:tcPr>
          <w:tcW w:w="3080" w:type="dxa"/>
          <w:shd w:val="clear" w:color="auto" w:fill="5B9BD5" w:themeFill="accent1"/>
        </w:tcPr>
        <w:p w14:paraId="53CD1FD8" w14:textId="77777777" w:rsidR="002D6D1B" w:rsidRPr="005C7968" w:rsidRDefault="002D6D1B" w:rsidP="002D6D1B">
          <w:pPr>
            <w:pStyle w:val="Footer"/>
            <w:rPr>
              <w:sz w:val="20"/>
              <w:szCs w:val="20"/>
            </w:rPr>
          </w:pPr>
          <w:bookmarkStart w:id="0" w:name="_Hlk106027336"/>
          <w:r w:rsidRPr="005C7968">
            <w:rPr>
              <w:sz w:val="20"/>
              <w:szCs w:val="20"/>
            </w:rPr>
            <w:t>Document Name:</w:t>
          </w:r>
        </w:p>
        <w:p w14:paraId="7F4B7BE7" w14:textId="4EE9E47F" w:rsidR="002D6D1B" w:rsidRPr="005C7968" w:rsidRDefault="002D6D1B" w:rsidP="002D6D1B">
          <w:pPr>
            <w:pStyle w:val="Footer"/>
            <w:rPr>
              <w:sz w:val="20"/>
              <w:szCs w:val="20"/>
            </w:rPr>
          </w:pPr>
          <w:r>
            <w:rPr>
              <w:sz w:val="20"/>
              <w:szCs w:val="20"/>
            </w:rPr>
            <w:t>Asbestos Policy</w:t>
          </w:r>
        </w:p>
      </w:tc>
      <w:tc>
        <w:tcPr>
          <w:tcW w:w="3081" w:type="dxa"/>
          <w:shd w:val="clear" w:color="auto" w:fill="5B9BD5" w:themeFill="accent1"/>
        </w:tcPr>
        <w:p w14:paraId="0DDD5657" w14:textId="77777777" w:rsidR="002D6D1B" w:rsidRPr="005C7968" w:rsidRDefault="002D6D1B" w:rsidP="002D6D1B">
          <w:pPr>
            <w:pStyle w:val="Footer"/>
            <w:rPr>
              <w:sz w:val="20"/>
              <w:szCs w:val="20"/>
            </w:rPr>
          </w:pPr>
          <w:r w:rsidRPr="005C7968">
            <w:rPr>
              <w:sz w:val="20"/>
              <w:szCs w:val="20"/>
            </w:rPr>
            <w:t>Document Reference:</w:t>
          </w:r>
        </w:p>
        <w:p w14:paraId="7F46002C" w14:textId="66E840A8" w:rsidR="002D6D1B" w:rsidRPr="005C7968" w:rsidRDefault="00970C04" w:rsidP="002D6D1B">
          <w:pPr>
            <w:pStyle w:val="Footer"/>
            <w:rPr>
              <w:sz w:val="20"/>
              <w:szCs w:val="20"/>
            </w:rPr>
          </w:pPr>
          <w:r>
            <w:rPr>
              <w:sz w:val="20"/>
              <w:szCs w:val="20"/>
            </w:rPr>
            <w:t>TC</w:t>
          </w:r>
          <w:r w:rsidR="002D6D1B" w:rsidRPr="005C7968">
            <w:rPr>
              <w:sz w:val="20"/>
              <w:szCs w:val="20"/>
            </w:rPr>
            <w:t>/</w:t>
          </w:r>
          <w:r w:rsidR="002D6D1B">
            <w:rPr>
              <w:sz w:val="20"/>
              <w:szCs w:val="20"/>
            </w:rPr>
            <w:t>CL</w:t>
          </w:r>
          <w:r w:rsidR="002D6D1B" w:rsidRPr="005C7968">
            <w:rPr>
              <w:sz w:val="20"/>
              <w:szCs w:val="20"/>
            </w:rPr>
            <w:t>-1</w:t>
          </w:r>
          <w:r w:rsidR="002D6D1B">
            <w:rPr>
              <w:sz w:val="20"/>
              <w:szCs w:val="20"/>
            </w:rPr>
            <w:t>.15</w:t>
          </w:r>
        </w:p>
      </w:tc>
      <w:tc>
        <w:tcPr>
          <w:tcW w:w="3081" w:type="dxa"/>
          <w:shd w:val="clear" w:color="auto" w:fill="5B9BD5" w:themeFill="accent1"/>
        </w:tcPr>
        <w:p w14:paraId="3B819D82" w14:textId="77777777" w:rsidR="002D6D1B" w:rsidRPr="005C7968" w:rsidRDefault="002D6D1B" w:rsidP="002D6D1B">
          <w:pPr>
            <w:pStyle w:val="Footer"/>
            <w:rPr>
              <w:sz w:val="20"/>
              <w:szCs w:val="20"/>
            </w:rPr>
          </w:pPr>
          <w:r w:rsidRPr="005C7968">
            <w:rPr>
              <w:sz w:val="20"/>
              <w:szCs w:val="20"/>
            </w:rPr>
            <w:t>Revision No./Date:</w:t>
          </w:r>
        </w:p>
        <w:p w14:paraId="76845213" w14:textId="23FAA277" w:rsidR="002D6D1B" w:rsidRPr="005C7968" w:rsidRDefault="00970C04" w:rsidP="002D6D1B">
          <w:pPr>
            <w:pStyle w:val="Footer"/>
            <w:rPr>
              <w:sz w:val="20"/>
              <w:szCs w:val="20"/>
            </w:rPr>
          </w:pPr>
          <w:r>
            <w:rPr>
              <w:sz w:val="20"/>
              <w:szCs w:val="20"/>
            </w:rPr>
            <w:t>1-</w:t>
          </w:r>
          <w:r w:rsidR="00976A6A">
            <w:rPr>
              <w:sz w:val="20"/>
              <w:szCs w:val="20"/>
            </w:rPr>
            <w:t>August</w:t>
          </w:r>
          <w:r w:rsidR="002D6D1B">
            <w:rPr>
              <w:sz w:val="20"/>
              <w:szCs w:val="20"/>
            </w:rPr>
            <w:t xml:space="preserve"> 2022</w:t>
          </w:r>
        </w:p>
      </w:tc>
    </w:tr>
    <w:bookmarkEnd w:id="0"/>
  </w:tbl>
  <w:p w14:paraId="30AA7FE1" w14:textId="77777777" w:rsidR="007A5B50" w:rsidRDefault="007A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4D7F" w14:textId="77777777" w:rsidR="0070059F" w:rsidRDefault="0070059F" w:rsidP="007A5B50">
      <w:pPr>
        <w:spacing w:after="0" w:line="240" w:lineRule="auto"/>
      </w:pPr>
      <w:r>
        <w:separator/>
      </w:r>
    </w:p>
  </w:footnote>
  <w:footnote w:type="continuationSeparator" w:id="0">
    <w:p w14:paraId="273DAE48" w14:textId="77777777" w:rsidR="0070059F" w:rsidRDefault="0070059F"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439"/>
      <w:gridCol w:w="4577"/>
    </w:tblGrid>
    <w:tr w:rsidR="002D6D1B" w14:paraId="122F07CD" w14:textId="77777777" w:rsidTr="00434C61">
      <w:tc>
        <w:tcPr>
          <w:tcW w:w="5949" w:type="dxa"/>
          <w:shd w:val="clear" w:color="auto" w:fill="5B9BD5" w:themeFill="accent1"/>
        </w:tcPr>
        <w:p w14:paraId="616E3BF0" w14:textId="1AB5EC79" w:rsidR="002D6D1B" w:rsidRDefault="002D6D1B" w:rsidP="002D6D1B">
          <w:pPr>
            <w:pStyle w:val="Header"/>
            <w:numPr>
              <w:ilvl w:val="1"/>
              <w:numId w:val="14"/>
            </w:numPr>
            <w:rPr>
              <w:rFonts w:asciiTheme="majorHAnsi" w:hAnsiTheme="majorHAnsi" w:cstheme="majorHAnsi"/>
              <w:b/>
              <w:bCs/>
              <w:sz w:val="32"/>
              <w:szCs w:val="32"/>
            </w:rPr>
          </w:pPr>
          <w:r>
            <w:rPr>
              <w:rFonts w:asciiTheme="majorHAnsi" w:hAnsiTheme="majorHAnsi" w:cstheme="majorHAnsi"/>
              <w:b/>
              <w:bCs/>
              <w:sz w:val="32"/>
              <w:szCs w:val="32"/>
            </w:rPr>
            <w:t>Asbestos Policy</w:t>
          </w:r>
        </w:p>
        <w:p w14:paraId="5CFE4D70" w14:textId="77777777" w:rsidR="002D6D1B" w:rsidRPr="00082BA6" w:rsidRDefault="002D6D1B" w:rsidP="002D6D1B">
          <w:pPr>
            <w:pStyle w:val="Header"/>
            <w:ind w:left="720"/>
            <w:rPr>
              <w:rFonts w:asciiTheme="majorHAnsi" w:hAnsiTheme="majorHAnsi" w:cstheme="majorHAnsi"/>
              <w:b/>
              <w:bCs/>
              <w:sz w:val="32"/>
              <w:szCs w:val="32"/>
            </w:rPr>
          </w:pPr>
        </w:p>
      </w:tc>
      <w:tc>
        <w:tcPr>
          <w:tcW w:w="3067" w:type="dxa"/>
        </w:tcPr>
        <w:p w14:paraId="22EDA711" w14:textId="3A9DA435" w:rsidR="002D6D1B" w:rsidRDefault="00970C04" w:rsidP="002D6D1B">
          <w:pPr>
            <w:pStyle w:val="Header"/>
          </w:pPr>
          <w:r>
            <w:rPr>
              <w:noProof/>
            </w:rPr>
            <w:drawing>
              <wp:inline distT="0" distB="0" distL="0" distR="0" wp14:anchorId="4CB149F6" wp14:editId="486F51DC">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24BB8DE0"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FC7"/>
    <w:multiLevelType w:val="hybridMultilevel"/>
    <w:tmpl w:val="0A4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36C"/>
    <w:multiLevelType w:val="hybridMultilevel"/>
    <w:tmpl w:val="AE3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600A"/>
    <w:multiLevelType w:val="hybridMultilevel"/>
    <w:tmpl w:val="33C6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44DF"/>
    <w:multiLevelType w:val="hybridMultilevel"/>
    <w:tmpl w:val="6CD0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D2EFB"/>
    <w:multiLevelType w:val="hybridMultilevel"/>
    <w:tmpl w:val="31A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EC7"/>
    <w:multiLevelType w:val="hybridMultilevel"/>
    <w:tmpl w:val="0376FD02"/>
    <w:lvl w:ilvl="0" w:tplc="C316939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405604"/>
    <w:multiLevelType w:val="multilevel"/>
    <w:tmpl w:val="6052C368"/>
    <w:lvl w:ilvl="0">
      <w:start w:val="1"/>
      <w:numFmt w:val="decimal"/>
      <w:lvlText w:val="%1"/>
      <w:lvlJc w:val="left"/>
      <w:pPr>
        <w:ind w:left="615" w:hanging="61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55C58CC"/>
    <w:multiLevelType w:val="hybridMultilevel"/>
    <w:tmpl w:val="3CFA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8BB4E5C"/>
    <w:multiLevelType w:val="hybridMultilevel"/>
    <w:tmpl w:val="D9F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03A9F"/>
    <w:multiLevelType w:val="hybridMultilevel"/>
    <w:tmpl w:val="608A1D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35C21"/>
    <w:multiLevelType w:val="hybridMultilevel"/>
    <w:tmpl w:val="5AC4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93217"/>
    <w:multiLevelType w:val="hybridMultilevel"/>
    <w:tmpl w:val="BD4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41EA8"/>
    <w:multiLevelType w:val="hybridMultilevel"/>
    <w:tmpl w:val="959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694448">
    <w:abstractNumId w:val="10"/>
  </w:num>
  <w:num w:numId="2" w16cid:durableId="932054916">
    <w:abstractNumId w:val="3"/>
  </w:num>
  <w:num w:numId="3" w16cid:durableId="683286825">
    <w:abstractNumId w:val="5"/>
  </w:num>
  <w:num w:numId="4" w16cid:durableId="413892584">
    <w:abstractNumId w:val="4"/>
  </w:num>
  <w:num w:numId="5" w16cid:durableId="347484360">
    <w:abstractNumId w:val="9"/>
  </w:num>
  <w:num w:numId="6" w16cid:durableId="1981109489">
    <w:abstractNumId w:val="2"/>
  </w:num>
  <w:num w:numId="7" w16cid:durableId="2129082554">
    <w:abstractNumId w:val="13"/>
  </w:num>
  <w:num w:numId="8" w16cid:durableId="487286569">
    <w:abstractNumId w:val="0"/>
  </w:num>
  <w:num w:numId="9" w16cid:durableId="840706304">
    <w:abstractNumId w:val="1"/>
  </w:num>
  <w:num w:numId="10" w16cid:durableId="1492060454">
    <w:abstractNumId w:val="12"/>
  </w:num>
  <w:num w:numId="11" w16cid:durableId="467163321">
    <w:abstractNumId w:val="7"/>
  </w:num>
  <w:num w:numId="12" w16cid:durableId="37556017">
    <w:abstractNumId w:val="11"/>
  </w:num>
  <w:num w:numId="13" w16cid:durableId="1115751909">
    <w:abstractNumId w:val="8"/>
  </w:num>
  <w:num w:numId="14" w16cid:durableId="209933098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50"/>
    <w:rsid w:val="00003A4D"/>
    <w:rsid w:val="00024F76"/>
    <w:rsid w:val="0003748E"/>
    <w:rsid w:val="000562C5"/>
    <w:rsid w:val="0006186E"/>
    <w:rsid w:val="0008240F"/>
    <w:rsid w:val="000F2102"/>
    <w:rsid w:val="00123C92"/>
    <w:rsid w:val="001902B7"/>
    <w:rsid w:val="0022222A"/>
    <w:rsid w:val="0024123B"/>
    <w:rsid w:val="00243ED2"/>
    <w:rsid w:val="002921C6"/>
    <w:rsid w:val="002D6D1B"/>
    <w:rsid w:val="002E7810"/>
    <w:rsid w:val="003C4446"/>
    <w:rsid w:val="003D6D71"/>
    <w:rsid w:val="00411DF8"/>
    <w:rsid w:val="00456CDD"/>
    <w:rsid w:val="00544BD8"/>
    <w:rsid w:val="00623E48"/>
    <w:rsid w:val="00685E83"/>
    <w:rsid w:val="006A68F1"/>
    <w:rsid w:val="006F0734"/>
    <w:rsid w:val="0070059F"/>
    <w:rsid w:val="00741A0E"/>
    <w:rsid w:val="0077628E"/>
    <w:rsid w:val="007A5B50"/>
    <w:rsid w:val="007B4ECE"/>
    <w:rsid w:val="007C03B6"/>
    <w:rsid w:val="007D09DF"/>
    <w:rsid w:val="008145C2"/>
    <w:rsid w:val="00862FC7"/>
    <w:rsid w:val="008C29CF"/>
    <w:rsid w:val="00970C04"/>
    <w:rsid w:val="00976A6A"/>
    <w:rsid w:val="00995ECF"/>
    <w:rsid w:val="00A0714A"/>
    <w:rsid w:val="00AC49D9"/>
    <w:rsid w:val="00B112E1"/>
    <w:rsid w:val="00B472AF"/>
    <w:rsid w:val="00B613F5"/>
    <w:rsid w:val="00BA6615"/>
    <w:rsid w:val="00BC4418"/>
    <w:rsid w:val="00C1154D"/>
    <w:rsid w:val="00C63CA6"/>
    <w:rsid w:val="00C740EC"/>
    <w:rsid w:val="00D879A4"/>
    <w:rsid w:val="00D92297"/>
    <w:rsid w:val="00DC75FD"/>
    <w:rsid w:val="00E11971"/>
    <w:rsid w:val="00E522A2"/>
    <w:rsid w:val="00F04B72"/>
    <w:rsid w:val="00F24638"/>
    <w:rsid w:val="00F72881"/>
    <w:rsid w:val="00FA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D8E3"/>
  <w15:docId w15:val="{76082122-4040-42FB-9C09-4568E08D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link w:val="Heading1Char"/>
    <w:qFormat/>
    <w:rsid w:val="00123C9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qFormat/>
    <w:rsid w:val="00A0714A"/>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B613F5"/>
    <w:pPr>
      <w:spacing w:before="240" w:after="60" w:line="240" w:lineRule="auto"/>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F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7628E"/>
    <w:rPr>
      <w:color w:val="0563C1" w:themeColor="hyperlink"/>
      <w:u w:val="single"/>
    </w:rPr>
  </w:style>
  <w:style w:type="character" w:customStyle="1" w:styleId="Heading1Char">
    <w:name w:val="Heading 1 Char"/>
    <w:basedOn w:val="DefaultParagraphFont"/>
    <w:link w:val="Heading1"/>
    <w:rsid w:val="00123C9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A0714A"/>
    <w:rPr>
      <w:rFonts w:ascii="Arial" w:eastAsia="Times New Roman" w:hAnsi="Arial" w:cs="Arial"/>
      <w:b/>
      <w:bCs/>
      <w:i/>
      <w:iCs/>
      <w:sz w:val="28"/>
      <w:szCs w:val="28"/>
    </w:rPr>
  </w:style>
  <w:style w:type="paragraph" w:styleId="ListParagraph">
    <w:name w:val="List Paragraph"/>
    <w:basedOn w:val="Normal"/>
    <w:uiPriority w:val="34"/>
    <w:qFormat/>
    <w:rsid w:val="00544BD8"/>
    <w:pPr>
      <w:ind w:left="720"/>
      <w:contextualSpacing/>
    </w:pPr>
  </w:style>
  <w:style w:type="character" w:customStyle="1" w:styleId="Heading6Char">
    <w:name w:val="Heading 6 Char"/>
    <w:basedOn w:val="DefaultParagraphFont"/>
    <w:link w:val="Heading6"/>
    <w:rsid w:val="00B613F5"/>
    <w:rPr>
      <w:rFonts w:ascii="Times New Roman" w:eastAsia="Times New Roman" w:hAnsi="Times New Roman" w:cs="Times New Roman"/>
      <w:b/>
      <w:bCs/>
      <w:lang w:val="en-US" w:eastAsia="en-GB"/>
    </w:rPr>
  </w:style>
  <w:style w:type="paragraph" w:styleId="BalloonText">
    <w:name w:val="Balloon Text"/>
    <w:basedOn w:val="Normal"/>
    <w:link w:val="BalloonTextChar"/>
    <w:uiPriority w:val="99"/>
    <w:semiHidden/>
    <w:unhideWhenUsed/>
    <w:rsid w:val="00B6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F5"/>
    <w:rPr>
      <w:rFonts w:ascii="Tahoma" w:eastAsia="Calibri" w:hAnsi="Tahoma" w:cs="Tahoma"/>
      <w:sz w:val="16"/>
      <w:szCs w:val="16"/>
    </w:rPr>
  </w:style>
  <w:style w:type="table" w:customStyle="1" w:styleId="TableGrid1">
    <w:name w:val="Table Grid1"/>
    <w:basedOn w:val="TableNormal"/>
    <w:next w:val="TableGrid"/>
    <w:uiPriority w:val="39"/>
    <w:rsid w:val="002D6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C63CA6"/>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2724">
      <w:bodyDiv w:val="1"/>
      <w:marLeft w:val="0"/>
      <w:marRight w:val="0"/>
      <w:marTop w:val="0"/>
      <w:marBottom w:val="0"/>
      <w:divBdr>
        <w:top w:val="none" w:sz="0" w:space="0" w:color="auto"/>
        <w:left w:val="none" w:sz="0" w:space="0" w:color="auto"/>
        <w:bottom w:val="none" w:sz="0" w:space="0" w:color="auto"/>
        <w:right w:val="none" w:sz="0" w:space="0" w:color="auto"/>
      </w:divBdr>
    </w:div>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51D33-3D71-4807-B01C-BCD63ABAFC5C}">
  <ds:schemaRefs>
    <ds:schemaRef ds:uri="http://schemas.microsoft.com/sharepoint/v3/contenttype/forms"/>
  </ds:schemaRefs>
</ds:datastoreItem>
</file>

<file path=customXml/itemProps2.xml><?xml version="1.0" encoding="utf-8"?>
<ds:datastoreItem xmlns:ds="http://schemas.openxmlformats.org/officeDocument/2006/customXml" ds:itemID="{479B2130-01DE-498E-92FB-CF0F23A6E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8E57C-E51F-4524-A9A4-ED468F73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8</cp:revision>
  <dcterms:created xsi:type="dcterms:W3CDTF">2018-03-29T12:36:00Z</dcterms:created>
  <dcterms:modified xsi:type="dcterms:W3CDTF">2022-10-20T08:01:00Z</dcterms:modified>
</cp:coreProperties>
</file>